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media/rId110.jpg" ContentType="image/jpeg"/>
  <Override PartName="/word/media/rId113.jpg" ContentType="image/jpeg"/>
  <Override PartName="/word/media/rId39.bin" ContentType="application/octet-stream"/>
  <Override PartName="/word/media/rId67.bin" ContentType="application/octet-stream"/>
  <Override PartName="/word/media/rId77.bin" ContentType="application/octet-stream"/>
  <Override PartName="/word/media/rId50.bin" ContentType="application/octet-stream"/>
  <Override PartName="/word/media/rId84.bin" ContentType="application/octet-stream"/>
  <Override PartName="/word/media/rId89.bin" ContentType="application/octet-stream"/>
  <Override PartName="/word/media/rId92.bin" ContentType="application/octet-stream"/>
  <Override PartName="/word/media/rId95.bin" ContentType="application/octet-stream"/>
  <Override PartName="/word/media/rId98.bin" ContentType="application/octet-stream"/>
  <Override PartName="/word/media/rId101.bin" ContentType="application/octet-stream"/>
  <Override PartName="/word/media/rId104.bin" ContentType="application/octet-stream"/>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a5"/>
      </w:pPr>
      <w:r>
        <w:t xml:space="preserve">для</w:t>
      </w:r>
      <w:r>
        <w:t xml:space="preserve"> </w:t>
      </w:r>
      <w:r>
        <w:t xml:space="preserve">отчета</w:t>
      </w:r>
      <w:r>
        <w:br/>
      </w:r>
      <w:r>
        <w:t xml:space="preserve">Определение</w:t>
      </w:r>
      <w:r>
        <w:t xml:space="preserve"> </w:t>
      </w:r>
      <w:r>
        <w:t xml:space="preserve">категорий</w:t>
      </w:r>
      <w:r>
        <w:t xml:space="preserve"> </w:t>
      </w:r>
      <w:r>
        <w:t xml:space="preserve">помещений,</w:t>
      </w:r>
      <w:r>
        <w:t xml:space="preserve"> </w:t>
      </w:r>
      <w:r>
        <w:t xml:space="preserve">зданий</w:t>
      </w:r>
      <w:r>
        <w:t xml:space="preserve"> </w:t>
      </w:r>
      <w:r>
        <w:t xml:space="preserve">и</w:t>
      </w:r>
      <w:r>
        <w:t xml:space="preserve"> </w:t>
      </w:r>
      <w:r>
        <w:t xml:space="preserve">наружных</w:t>
      </w:r>
      <w:r>
        <w:t xml:space="preserve"> </w:t>
      </w:r>
      <w:r>
        <w:t xml:space="preserve">установок</w:t>
      </w:r>
      <w:r>
        <w:t xml:space="preserve"> </w:t>
      </w:r>
      <w:r>
        <w:t xml:space="preserve">по</w:t>
      </w:r>
      <w:r>
        <w:t xml:space="preserve"> </w:t>
      </w:r>
      <w:r>
        <w:t xml:space="preserve">взрывопожарной</w:t>
      </w:r>
      <w:r>
        <w:t xml:space="preserve"> </w:t>
      </w:r>
      <w:r>
        <w:t xml:space="preserve">и</w:t>
      </w:r>
      <w:r>
        <w:t xml:space="preserve"> </w:t>
      </w:r>
      <w:r>
        <w:t xml:space="preserve">пожарной</w:t>
      </w:r>
      <w:r>
        <w:t xml:space="preserve"> </w:t>
      </w:r>
      <w:r>
        <w:t xml:space="preserve">опасности</w:t>
      </w:r>
    </w:p>
    <w:p>
      <w:pPr>
        <w:pStyle w:val="Author"/>
      </w:pPr>
      <w:r>
        <w:t xml:space="preserve">FireCategories</w:t>
      </w:r>
      <w:r>
        <w:t xml:space="preserve"> </w:t>
      </w:r>
      <w:r>
        <w:t xml:space="preserve">2.26</w:t>
      </w:r>
    </w:p>
    <w:sdt>
      <w:sdtPr>
        <w:docPartObj>
          <w:docPartGallery w:val="Table of Contents"/>
          <w:docPartUnique/>
        </w:docPartObj>
      </w:sdtPr>
      <w:sdtContent>
        <w:p>
          <w:pPr>
            <w:pStyle w:val="af"/>
          </w:pPr>
          <w:r>
            <w:t xml:space="preserve">Оглавление</w:t>
          </w:r>
        </w:p>
        <w:p>
          <w:r>
            <w:fldChar w:fldCharType="begin" w:dirty="true"/>
            <w:instrText xml:space="preserve">TOC \o "1-3" \h \z \u</w:instrText>
            <w:fldChar w:fldCharType="separate"/>
            <w:fldChar w:fldCharType="end"/>
          </w:r>
        </w:p>
      </w:sdtContent>
    </w:sdt>
    <w:bookmarkStart w:id="20" w:name="введение"/>
    <w:p>
      <w:pPr>
        <w:pStyle w:val="1"/>
      </w:pPr>
      <w:r>
        <w:t xml:space="preserve">Введение</w:t>
      </w:r>
    </w:p>
    <w:p>
      <w:pPr>
        <w:pStyle w:val="FirstParagraph"/>
      </w:pPr>
      <w:r>
        <w:t xml:space="preserve">Определение категорий помещений, зданий и наружных установок выполняется согласно «СП 12.13130.2009. Определение категорий помещений, зданий и наружных установок по взрывопожарной и пожарной опасности» (введ. приказом МЧС России от 25 марта 2009 г. № 182, с изменениями, утв. приказом МЧС России от 9 декабря 2010 г. № 643), который является нормативным документом по пожарной безопасности в области стандартизации добровольного применения и устанавливает методы определения классификационных признаков отнесения зданий (или частей зданий между противопожарными стенами — пожарных отсеков), сооружений, строений и помещений (далее по тексту — зданий и помещений) производственного и складского назначения класса Ф5 к категориям по взрывопожарной и пожарной опасности, а также методы определения классификационных признаков категорий наружных установок производственного и складского назначения по пожарной опасности.</w:t>
      </w:r>
    </w:p>
    <w:p>
      <w:pPr>
        <w:pStyle w:val="a0"/>
      </w:pPr>
      <w:r>
        <w:rPr>
          <w:u w:val="single"/>
          <w:bCs/>
          <w:b/>
        </w:rPr>
        <w:t xml:space="preserve">Классификация зданий и помещений</w:t>
      </w:r>
      <w:r>
        <w:t xml:space="preserve"> </w:t>
      </w:r>
      <w:r>
        <w:t xml:space="preserve">по взрывопожарной и пожарной опасности применяется для установления требований пожарной безопасности, направленных на предотвращение возможности возникновения пожара и обеспечение противопожарной защиты людей и имущества в случае возникновения пожара.</w:t>
      </w:r>
    </w:p>
    <w:p>
      <w:pPr>
        <w:pStyle w:val="a0"/>
      </w:pPr>
      <w:r>
        <w:t xml:space="preserve">По взрывопожарной и пожарной опасности помещения подразделяются на категории А, Б, В1-В4, Г и Д, а здания — на категории А, Б, В, Г и Д.</w:t>
      </w:r>
    </w:p>
    <w:p>
      <w:pPr>
        <w:pStyle w:val="a0"/>
      </w:pPr>
      <w:r>
        <w:t xml:space="preserve">Категории помещений и зданий определяются, исходя из вида находящихся в помещениях горючих веществ и материалов, их количества и пожароопасных свойств, а также, исходя из объёмно-планировочных решений помещений и характеристик проводимых в них технологических процессов.</w:t>
      </w:r>
    </w:p>
    <w:p>
      <w:pPr>
        <w:pStyle w:val="a0"/>
      </w:pPr>
      <w:r>
        <w:t xml:space="preserve">Определение пожароопасных свойств веществ и материалов производится на основании результатов испытаний или расчётов по стандартным методикам с учётом параметров состояния (давления, температуры и т.д.). Допускается использование официально опубликованных справочных данных по пожароопасным свойствам веществ и материалов. Допускается использование показателей пожарной опасности для смесей веществ и материалов по наиболее опасному компоненту.</w:t>
      </w:r>
    </w:p>
    <w:p>
      <w:pPr>
        <w:pStyle w:val="a0"/>
      </w:pPr>
      <w:r>
        <w:rPr>
          <w:u w:val="single"/>
          <w:bCs/>
          <w:b/>
        </w:rPr>
        <w:t xml:space="preserve">Категории помещений</w:t>
      </w:r>
      <w:r>
        <w:t xml:space="preserve"> </w:t>
      </w:r>
      <w:r>
        <w:t xml:space="preserve">по взрывопожарной и пожарной опасности принимаются в соответствии с таблицей 1 СП 12.13130.2009:</w:t>
      </w:r>
    </w:p>
    <w:tbl>
      <w:tblPr>
        <w:tblStyle w:val="Table"/>
        <w:tblW w:type="pct" w:w="5000"/>
        <w:tblLook w:firstRow="1" w:lastRow="0" w:firstColumn="0" w:lastColumn="0" w:noHBand="0" w:noVBand="0" w:val="0020"/>
      </w:tblPr>
      <w:tblGrid>
        <w:gridCol w:w="1584"/>
        <w:gridCol w:w="6336"/>
      </w:tblGrid>
      <w:tr>
        <w:trPr>
          <w:tblHeader w:val="true"/>
        </w:trPr>
        <w:tc>
          <w:tcPr/>
          <w:p>
            <w:pPr>
              <w:pStyle w:val="Compact"/>
              <w:jc w:val="left"/>
            </w:pPr>
            <w:r>
              <w:t xml:space="preserve">Категория помещения</w:t>
            </w:r>
          </w:p>
        </w:tc>
        <w:tc>
          <w:tcPr/>
          <w:p>
            <w:pPr>
              <w:pStyle w:val="Compact"/>
              <w:jc w:val="left"/>
            </w:pPr>
            <w:r>
              <w:t xml:space="preserve">Характеристика веществ и материалов, находящихся (обращающихся) в помещении</w:t>
            </w:r>
          </w:p>
        </w:tc>
      </w:tr>
      <w:tr>
        <w:tc>
          <w:tcPr/>
          <w:p>
            <w:pPr>
              <w:jc w:val="left"/>
            </w:pPr>
            <w:r>
              <w:t xml:space="preserve">А</w:t>
            </w:r>
          </w:p>
          <w:p>
            <w:pPr>
              <w:jc w:val="left"/>
            </w:pPr>
            <w:r>
              <w:t xml:space="preserve">повышенная</w:t>
            </w:r>
          </w:p>
          <w:p>
            <w:pPr>
              <w:jc w:val="left"/>
            </w:pPr>
            <w:r>
              <w:t xml:space="preserve">взрывопожаро-опасность</w:t>
            </w:r>
          </w:p>
        </w:tc>
        <w:tc>
          <w:tcPr/>
          <w:p>
            <w:pPr>
              <w:pStyle w:val="Compact"/>
              <w:jc w:val="left"/>
            </w:pPr>
            <w:r>
              <w:t xml:space="preserve">Горючие газы, легковоспламеняющиеся жидкости с температурой вспышки не более 28 °С в таком количестве, что могут образовывать взрывоопасные парогазовоздушные смеси, при воспламенении которых развивается расчётное избыточное давление взрыва в помещении, превышающее 5 кПа, и (или) вещества и материалы, способные взрываться и гореть при взаимодействии с водой, кислородом воздуха или друг с другом, в таком количестве, что расчётное избыточное давление взрыва в помещении превышает 5 кПа</w:t>
            </w:r>
          </w:p>
        </w:tc>
      </w:tr>
      <w:tr>
        <w:tc>
          <w:tcPr/>
          <w:p>
            <w:pPr>
              <w:jc w:val="left"/>
            </w:pPr>
            <w:r>
              <w:t xml:space="preserve">Б</w:t>
            </w:r>
          </w:p>
          <w:p>
            <w:pPr>
              <w:jc w:val="left"/>
            </w:pPr>
            <w:r>
              <w:t xml:space="preserve">взрывопожаро-опасность</w:t>
            </w:r>
          </w:p>
        </w:tc>
        <w:tc>
          <w:tcPr/>
          <w:p>
            <w:pPr>
              <w:pStyle w:val="Compact"/>
              <w:jc w:val="left"/>
            </w:pPr>
            <w:r>
              <w:t xml:space="preserve">Горючие пыли или волокна, легковоспламеняющиеся жидкости с температурой вспышки более 28 °С, горючие жидкости в таком количестве, что могут образовывать взрывоопасные пылевоздушные или паровоздушные смеси, при воспламенении которых развивается расчётное избыточное давление взрыва в помещении, превышающее 5 кПа</w:t>
            </w:r>
          </w:p>
        </w:tc>
      </w:tr>
      <w:tr>
        <w:tc>
          <w:tcPr/>
          <w:p>
            <w:pPr>
              <w:jc w:val="left"/>
            </w:pPr>
            <w:r>
              <w:t xml:space="preserve">В1-В4</w:t>
            </w:r>
          </w:p>
          <w:p>
            <w:pPr>
              <w:jc w:val="left"/>
            </w:pPr>
            <w:r>
              <w:t xml:space="preserve">пожаро-опасность</w:t>
            </w:r>
          </w:p>
        </w:tc>
        <w:tc>
          <w:tcPr/>
          <w:p>
            <w:pPr>
              <w:pStyle w:val="Compact"/>
              <w:jc w:val="left"/>
            </w:pPr>
            <w:r>
              <w:t xml:space="preserve">Горючие и трудногорючие жидкости, твёрдые горючие и трудногорючие вещества и материалы (в том числе пыли и волокна), вещества и материалы, способные при взаимодействии с водой, кислородом воздуха или друг с другом только гореть, при условии, что помещения, в которых они находятся (обращаются), не относятся к категории А или Б</w:t>
            </w:r>
          </w:p>
        </w:tc>
      </w:tr>
      <w:tr>
        <w:tc>
          <w:tcPr/>
          <w:p>
            <w:pPr>
              <w:jc w:val="left"/>
            </w:pPr>
            <w:r>
              <w:t xml:space="preserve">Г</w:t>
            </w:r>
          </w:p>
          <w:p>
            <w:pPr>
              <w:jc w:val="left"/>
            </w:pPr>
            <w:r>
              <w:t xml:space="preserve">умеренная</w:t>
            </w:r>
          </w:p>
          <w:p>
            <w:pPr>
              <w:jc w:val="left"/>
            </w:pPr>
            <w:r>
              <w:t xml:space="preserve">пожаро-опасность</w:t>
            </w:r>
          </w:p>
        </w:tc>
        <w:tc>
          <w:tcPr/>
          <w:p>
            <w:pPr>
              <w:pStyle w:val="Compact"/>
              <w:jc w:val="left"/>
            </w:pPr>
            <w:r>
              <w:t xml:space="preserve">Негорючие вещества и материалы в горячем, раскалённом или расплавленном состоянии, процесс обработки которых сопровождается выделением лучистого тепла, искр и пламени, и (или) горючие газы, жидкости и твёрдые вещества, которые сжигаются или утилизируются в качестве топлива</w:t>
            </w:r>
          </w:p>
        </w:tc>
      </w:tr>
      <w:tr>
        <w:tc>
          <w:tcPr/>
          <w:p>
            <w:pPr>
              <w:jc w:val="left"/>
            </w:pPr>
            <w:r>
              <w:t xml:space="preserve">Д</w:t>
            </w:r>
          </w:p>
          <w:p>
            <w:pPr>
              <w:jc w:val="left"/>
            </w:pPr>
            <w:r>
              <w:t xml:space="preserve">пониженная</w:t>
            </w:r>
          </w:p>
          <w:p>
            <w:pPr>
              <w:jc w:val="left"/>
            </w:pPr>
            <w:r>
              <w:t xml:space="preserve">пожаро-опасность</w:t>
            </w:r>
          </w:p>
        </w:tc>
        <w:tc>
          <w:tcPr/>
          <w:p>
            <w:pPr>
              <w:pStyle w:val="Compact"/>
              <w:jc w:val="left"/>
            </w:pPr>
            <w:r>
              <w:t xml:space="preserve">Негорючие вещества и материалы в холодном состоянии</w:t>
            </w:r>
          </w:p>
        </w:tc>
      </w:tr>
    </w:tbl>
    <w:p>
      <w:pPr>
        <w:pStyle w:val="a0"/>
      </w:pPr>
      <w:r>
        <w:t xml:space="preserve">Определение категорий помещений осуществляется путём последовательной проверки принадлежности помещения к категориям от наиболее опасной (А) к наименее опасной (Д).</w:t>
      </w:r>
    </w:p>
    <w:p>
      <w:pPr>
        <w:pStyle w:val="a0"/>
      </w:pPr>
      <w:r>
        <w:t xml:space="preserve">Методы определения категорий помещений А и Б устанавливаются в соответствии с приложением А СП 12.13130.2009.</w:t>
      </w:r>
    </w:p>
    <w:p>
      <w:pPr>
        <w:pStyle w:val="a0"/>
      </w:pPr>
      <w:r>
        <w:t xml:space="preserve">При этом в качестве расчётного выбирается наиболее неблагоприятный вариант аварии или период нормальной работы аппаратов, при котором в образовании горючих газо-, паро-, пылевоздушных смесей участвует наибольшее количество газов, паров, пылей, наиболее опасных в отношении последствий сгорания этих смесей. В случае если использование расчётных методов не представляется возможным, допускается определение значений критериев взрывопожарной опасности на основании результатов соответствующих научно-исследовательских работ, согласованных в порядке, установленном для согласования отступлений от требований нормативных документов по пожарной безопасности.</w:t>
      </w:r>
    </w:p>
    <w:p>
      <w:pPr>
        <w:pStyle w:val="a0"/>
      </w:pPr>
      <w:r>
        <w:t xml:space="preserve">Количество поступивших в помещение веществ, которые могут образовать горючие газовоздушные, паровоздушные, пылевоздушные смеси, определяется, исходя из следующих предпосылок:</w:t>
      </w:r>
    </w:p>
    <w:p>
      <w:pPr>
        <w:pStyle w:val="a0"/>
      </w:pPr>
      <w:r>
        <w:t xml:space="preserve">а) происходит расчётная авария одного из аппаратов;</w:t>
      </w:r>
    </w:p>
    <w:p>
      <w:pPr>
        <w:pStyle w:val="a0"/>
      </w:pPr>
      <w:r>
        <w:t xml:space="preserve">б) все содержимое аппарата поступает в помещение;</w:t>
      </w:r>
    </w:p>
    <w:p>
      <w:pPr>
        <w:pStyle w:val="a0"/>
      </w:pPr>
      <w:r>
        <w:t xml:space="preserve">в) происходит одновременно утечка веществ из трубопроводов, питающих аппарат, по прямому и обратному потокам в течение времени, необходимого для отключения трубопроводов.</w:t>
      </w:r>
    </w:p>
    <w:p>
      <w:pPr>
        <w:pStyle w:val="a0"/>
      </w:pPr>
      <w:r>
        <w:t xml:space="preserve">Расчётное время отключения трубопроводов определяют в каждом конкретном случае, исходя из реальной обстановки, и должно быть минимальным с учётом паспортных данных на запорные устройства, характера технологического процесса и вида расчётной аварии.</w:t>
      </w:r>
    </w:p>
    <w:p>
      <w:pPr>
        <w:pStyle w:val="a0"/>
      </w:pPr>
      <w:r>
        <w:t xml:space="preserve">Расчётное время отключения трубопроводов принимается равным:</w:t>
      </w:r>
    </w:p>
    <w:p>
      <w:pPr>
        <w:pStyle w:val="a0"/>
      </w:pPr>
      <w:r>
        <w:t xml:space="preserve">- времени срабатывания системы автоматики отключения трубопроводов согласно паспортным данным установки, если вероятность отказа системы автоматики не превышает 0,000001 в год или обеспечено резервирование её элементов;</w:t>
      </w:r>
    </w:p>
    <w:p>
      <w:pPr>
        <w:pStyle w:val="a0"/>
      </w:pPr>
      <w:r>
        <w:t xml:space="preserve">- 120 с, если вероятность отказа системы автоматики превышает 0,000001 в год и не обеспечено резервирование её элементов;</w:t>
      </w:r>
    </w:p>
    <w:p>
      <w:pPr>
        <w:pStyle w:val="a0"/>
      </w:pPr>
      <w:r>
        <w:t xml:space="preserve">- 300 с при ручном отключении;</w:t>
      </w:r>
    </w:p>
    <w:p>
      <w:pPr>
        <w:pStyle w:val="a0"/>
      </w:pPr>
      <w:r>
        <w:t xml:space="preserve">г) происходит испарение с поверхности разлившейся жидкости; площадь испарения при разливе на пол определяется (при отсутствии справочных данных), исходя из расчёта, что 1 литр смесей и растворов, содержащих 70 % и менее (по массе) растворителей, разливается на площади 0,5 м², а остальных жидкостей — на 1 м² пола помещения;</w:t>
      </w:r>
    </w:p>
    <w:p>
      <w:pPr>
        <w:pStyle w:val="a0"/>
      </w:pPr>
      <w:r>
        <w:t xml:space="preserve">д) происходит также испарение жидкости из ёмкостей, эксплуатируемых с открытым зеркалом жидкости, и со свежеокрашенных поверхностей;</w:t>
      </w:r>
    </w:p>
    <w:p>
      <w:pPr>
        <w:pStyle w:val="a0"/>
      </w:pPr>
      <w:r>
        <w:t xml:space="preserve">е) длительность испарения жидкости принимается равной времени её полного испарения, но не более 3600 с.</w:t>
      </w:r>
    </w:p>
    <w:p>
      <w:pPr>
        <w:pStyle w:val="a0"/>
      </w:pPr>
      <w:r>
        <w:t xml:space="preserve">Количество пыли, которое может образовать пылевоздушную смесь, определяется из следующих предпосылок:</w:t>
      </w:r>
    </w:p>
    <w:p>
      <w:pPr>
        <w:pStyle w:val="a0"/>
      </w:pPr>
      <w:r>
        <w:t xml:space="preserve">а) расчётной аварии предшествовало пыленакопление в производственном помещении, происходящее в условиях нормального режима работы (например, вследствие пылевыделения из негерметичного производственного оборудования);</w:t>
      </w:r>
    </w:p>
    <w:p>
      <w:pPr>
        <w:pStyle w:val="a0"/>
      </w:pPr>
      <w:r>
        <w:t xml:space="preserve">б) в момент расчётной аварии произошла плановая (ремонтные работы) или внезапная разгерметизация одного из технологических аппаратов, за которой последовал аварийный выброс в помещение всей находившейся в аппарате пыли.</w:t>
      </w:r>
    </w:p>
    <w:p>
      <w:pPr>
        <w:pStyle w:val="a0"/>
      </w:pPr>
      <w:r>
        <w:t xml:space="preserve">Свободный объём помещения определяется как разность между объёмом помещения и объёмом, занимаемым технологическим оборудованием, и условно принимается равным 80 % геометрического объёма помещения.</w:t>
      </w:r>
    </w:p>
    <w:p>
      <w:pPr>
        <w:pStyle w:val="a0"/>
      </w:pPr>
      <w:r>
        <w:t xml:space="preserve">Отнесение помещения к категории В1, В2, В3 или В4 осуществляется в зависимости от количества и способа размещения пожарной нагрузки в указанном помещении и его объёмно-планировочных характеристик, а также от пожароопасных свойств веществ и материалов, составляющих пожарную нагрузку. Разделение помещений на категории В1-В4 регламентируется положениями в соответствии с приложением Б СП 12.13130.2009. Определение категорий помещений В1-В4 осуществляется путём сравнения максимального значения удельной временной пожарной нагрузки на любом из участков с величиной удельной пожарной нагрузки, приведённой в таблице Б.1 СП 12.13130.2009.</w:t>
      </w:r>
    </w:p>
    <w:p>
      <w:pPr>
        <w:pStyle w:val="a0"/>
      </w:pPr>
      <w:r>
        <w:rPr>
          <w:u w:val="single"/>
          <w:bCs/>
          <w:b/>
        </w:rPr>
        <w:t xml:space="preserve">Категории зданий</w:t>
      </w:r>
      <w:r>
        <w:t xml:space="preserve"> </w:t>
      </w:r>
      <w:r>
        <w:t xml:space="preserve">по взрывопожарной и пожарной опасности определяются, исходя из доли и суммированной площади помещений той или иной категории опасности в этом здании.</w:t>
      </w:r>
    </w:p>
    <w:p>
      <w:pPr>
        <w:pStyle w:val="a0"/>
      </w:pPr>
      <w:r>
        <w:t xml:space="preserve">Здание относится к категории А, если в нём суммированная площадь помещений категории А превышает 5 % площади всех помещений или 200 м². Здание не относится к категории А, если суммированная площадь помещений категории А в здании не превышает 25 % суммированной площади всех размещённых в нём помещений (но не более 1000 м²) и эти помещения оснащаются установками автоматического пожаротушения.</w:t>
      </w:r>
    </w:p>
    <w:p>
      <w:pPr>
        <w:pStyle w:val="a0"/>
      </w:pPr>
      <w:r>
        <w:t xml:space="preserve">Здание относится к категории Б, если одновременно выполнены следующие условия: здание не относится к категории А и суммированная площадь помещений категорий А и Б превышает 5 % суммированной площади всех помещений или 200 м². Здание не относится к категории Б, если суммированная площадь помещений категорий А и Б в здании не превышает 25 % суммированной площади всех размещённых в нём помещений (но не более 1000 м²) и эти помещения оснащаются установками автоматического пожаротушения.</w:t>
      </w:r>
    </w:p>
    <w:p>
      <w:pPr>
        <w:pStyle w:val="a0"/>
      </w:pPr>
      <w:r>
        <w:t xml:space="preserve">Здание относится к категории В, если одновременно выполнены следующие условия: здание не относится к категории А или Б и суммированная площадь помещений категорий А, Б, B1, B2 и В3 превышает 5 % (10 %, если в здании отсутствуют помещения категорий А и Б) суммированной площади всех помещений. Здание не относится к категории В, если суммированная площадь помещений категорий А, Б, B1, B2 и В3 в здании не превышает 25 % суммированной площади всех размещённых в нём помещений (но не более 3500 м²) и эти помещения оснащаются установками автоматического пожаротушения.</w:t>
      </w:r>
    </w:p>
    <w:p>
      <w:pPr>
        <w:pStyle w:val="a0"/>
      </w:pPr>
      <w:r>
        <w:t xml:space="preserve">Здание относится к категории Г, если одновременно выполнены следующие условия: здание не относится к категории А, Б или В и суммированная площадь помещений категорий А, Б, B1, B2, ВЗ и Г превышает 5 % суммированной площади всех помещений. Здание не относится к категории Г, если суммированная площадь помещений категорий А, Б, B1, B2, В3 и Г в здании не превышает 25 % суммированной площади всех размещённых в нём помещений (но не более 5000 м²) и помещения категорий А, Б, B1, B2 и В3 оснащаются установками автоматического пожаротушения.</w:t>
      </w:r>
    </w:p>
    <w:p>
      <w:pPr>
        <w:pStyle w:val="a0"/>
      </w:pPr>
      <w:r>
        <w:t xml:space="preserve">Здание относится к категории Д, если оно не относится к категории А, Б, В или Г.</w:t>
      </w:r>
    </w:p>
    <w:p>
      <w:pPr>
        <w:pStyle w:val="a0"/>
      </w:pPr>
      <w:r>
        <w:rPr>
          <w:u w:val="single"/>
          <w:bCs/>
          <w:b/>
        </w:rPr>
        <w:t xml:space="preserve">Классификация наружных установок</w:t>
      </w:r>
      <w:r>
        <w:t xml:space="preserve"> </w:t>
      </w:r>
      <w:r>
        <w:t xml:space="preserve">по пожарной опасности используется для установления требований пожарной безопасности, направленных на предотвращение возможности возникновения пожара и обеспечение противопожарной защиты людей и имущества в случае возникновения пожара на наружных установках.</w:t>
      </w:r>
    </w:p>
    <w:p>
      <w:pPr>
        <w:pStyle w:val="a0"/>
      </w:pPr>
      <w:r>
        <w:t xml:space="preserve">По пожарной опасности наружные установки подразделяются на категории АН, БН, ВН, ГН и ДН. Категории наружных установок определяются, исходя из пожароопасных свойств находящихся в установках горючих веществ и материалов, их количества и особенностей технологических процессов.</w:t>
      </w:r>
    </w:p>
    <w:p>
      <w:pPr>
        <w:pStyle w:val="a0"/>
      </w:pPr>
      <w:r>
        <w:t xml:space="preserve">Категории наружных установок по пожарной опасности принимаются в соответствии с таблицей 2 СП 12.13130.2009:</w:t>
      </w:r>
    </w:p>
    <w:tbl>
      <w:tblPr>
        <w:tblStyle w:val="Table"/>
        <w:tblW w:type="pct" w:w="5000"/>
        <w:tblLook w:firstRow="1" w:lastRow="0" w:firstColumn="0" w:lastColumn="0" w:noHBand="0" w:noVBand="0" w:val="0020"/>
      </w:tblPr>
      <w:tblGrid>
        <w:gridCol w:w="1584"/>
        <w:gridCol w:w="6336"/>
      </w:tblGrid>
      <w:tr>
        <w:trPr>
          <w:tblHeader w:val="true"/>
        </w:trPr>
        <w:tc>
          <w:tcPr/>
          <w:p>
            <w:pPr>
              <w:jc w:val="left"/>
            </w:pPr>
            <w:r>
              <w:t xml:space="preserve">Категория</w:t>
            </w:r>
          </w:p>
          <w:p>
            <w:pPr>
              <w:jc w:val="left"/>
            </w:pPr>
            <w:r>
              <w:t xml:space="preserve">наружной установки</w:t>
            </w:r>
          </w:p>
        </w:tc>
        <w:tc>
          <w:tcPr/>
          <w:p>
            <w:pPr>
              <w:pStyle w:val="Compact"/>
              <w:jc w:val="left"/>
            </w:pPr>
            <w:r>
              <w:t xml:space="preserve">Критерии отнесения наружной установки к той или иной категории по пожарной опасности</w:t>
            </w:r>
          </w:p>
        </w:tc>
      </w:tr>
      <w:tr>
        <w:tc>
          <w:tcPr/>
          <w:p>
            <w:pPr>
              <w:jc w:val="left"/>
            </w:pPr>
            <w:r>
              <w:t xml:space="preserve">АН</w:t>
            </w:r>
          </w:p>
          <w:p>
            <w:pPr>
              <w:jc w:val="left"/>
            </w:pPr>
            <w:r>
              <w:t xml:space="preserve">повышенная</w:t>
            </w:r>
          </w:p>
          <w:p>
            <w:pPr>
              <w:jc w:val="left"/>
            </w:pPr>
            <w:r>
              <w:t xml:space="preserve">взрывопожаро-опасность</w:t>
            </w:r>
          </w:p>
        </w:tc>
        <w:tc>
          <w:tcPr/>
          <w:p>
            <w:pPr>
              <w:pStyle w:val="Compact"/>
              <w:jc w:val="left"/>
            </w:pPr>
            <w:r>
              <w:t xml:space="preserve">Установка относится к категории АН, если в ней присутствуют (хранятся, перерабатываются, транспортируются) горючие газы, легковоспламеняющиеся жидкости с температурой вспышки не более 28 °С, вещества и (или) материалы, способные гореть при взаимодействии с водой, кислородом воздуха и (или) друг с другом (при условии, что величина пожарного риска при возможном сгорании указанных веществ с образованием волн давления превышает одну миллионную в год на расстоянии 30 м от наружной установки)</w:t>
            </w:r>
          </w:p>
        </w:tc>
      </w:tr>
      <w:tr>
        <w:tc>
          <w:tcPr/>
          <w:p>
            <w:pPr>
              <w:jc w:val="left"/>
            </w:pPr>
            <w:r>
              <w:t xml:space="preserve">БН</w:t>
            </w:r>
          </w:p>
          <w:p>
            <w:pPr>
              <w:jc w:val="left"/>
            </w:pPr>
            <w:r>
              <w:t xml:space="preserve">взрывопожаро-опасность</w:t>
            </w:r>
          </w:p>
        </w:tc>
        <w:tc>
          <w:tcPr/>
          <w:p>
            <w:pPr>
              <w:pStyle w:val="Compact"/>
              <w:jc w:val="left"/>
            </w:pPr>
            <w:r>
              <w:t xml:space="preserve">Установка относится к категории БН, если в ней присутствуют (хранятся, перерабатываются, транспортируются) горючие пыли и (или) волокна, легковоспламеняющиеся жидкости с температурой вспышки более 28 °С, горючие жидкости (при условии, что величина пожарного риска при возможном сгорании пыле- и (или) паровоздушных смесей с образованием волн давления превышает одну миллионную в год на расстоянии 30 м от наружной установки)</w:t>
            </w:r>
          </w:p>
        </w:tc>
      </w:tr>
      <w:tr>
        <w:tc>
          <w:tcPr/>
          <w:p>
            <w:pPr>
              <w:jc w:val="left"/>
            </w:pPr>
            <w:r>
              <w:t xml:space="preserve">ВН</w:t>
            </w:r>
          </w:p>
          <w:p>
            <w:pPr>
              <w:jc w:val="left"/>
            </w:pPr>
            <w:r>
              <w:t xml:space="preserve">пожаро-опасность</w:t>
            </w:r>
          </w:p>
        </w:tc>
        <w:tc>
          <w:tcPr/>
          <w:p>
            <w:pPr>
              <w:pStyle w:val="Compact"/>
              <w:jc w:val="left"/>
            </w:pPr>
            <w:r>
              <w:t xml:space="preserve">Установка относится к категории ВН, если в ней присутствуют (хранятся, перерабатываются, транспортируются) горючие и (или) трудногорючие жидкости, твёрдые горючие и (или) трудногорючие вещества и (или) материалы (в том числе пыли и (или) волокна), вещества и (или) материалы, способные при взаимодействии с водой, кислородом воздуха и (или) друг с другом гореть, и если не реализуются критерии, позволяющие отнести установку к категории АН или БН (при условии, что величина пожарного риска при возможном сгорании указанных веществ и (или) материалов превышает одну миллионную в год на расстоянии 30 м от наружной установки)</w:t>
            </w:r>
          </w:p>
        </w:tc>
      </w:tr>
      <w:tr>
        <w:tc>
          <w:tcPr/>
          <w:p>
            <w:pPr>
              <w:jc w:val="left"/>
            </w:pPr>
            <w:r>
              <w:t xml:space="preserve">ГН</w:t>
            </w:r>
          </w:p>
          <w:p>
            <w:pPr>
              <w:jc w:val="left"/>
            </w:pPr>
            <w:r>
              <w:t xml:space="preserve">умеренная</w:t>
            </w:r>
          </w:p>
          <w:p>
            <w:pPr>
              <w:jc w:val="left"/>
            </w:pPr>
            <w:r>
              <w:t xml:space="preserve">пожаро-опасность</w:t>
            </w:r>
          </w:p>
        </w:tc>
        <w:tc>
          <w:tcPr/>
          <w:p>
            <w:pPr>
              <w:pStyle w:val="Compact"/>
              <w:jc w:val="left"/>
            </w:pPr>
            <w:r>
              <w:t xml:space="preserve">Установка относится к категории ГН, если в ней присутствуют (хранятся, перерабатываются, транспортируются) негорючие вещества и (или) материалы в горячем, раскалённом и (или) расплавленном состоянии, процесс обработки которых сопровождается выделением лучистого тепла, искр и (или) пламени, а также горючие газы, жидкости и (или) твёрдые вещества, которые сжигаются или утилизируются в качестве топлива</w:t>
            </w:r>
          </w:p>
        </w:tc>
      </w:tr>
      <w:tr>
        <w:tc>
          <w:tcPr/>
          <w:p>
            <w:pPr>
              <w:jc w:val="left"/>
            </w:pPr>
            <w:r>
              <w:t xml:space="preserve">ДН</w:t>
            </w:r>
          </w:p>
          <w:p>
            <w:pPr>
              <w:jc w:val="left"/>
            </w:pPr>
            <w:r>
              <w:t xml:space="preserve">пониженная</w:t>
            </w:r>
          </w:p>
          <w:p>
            <w:pPr>
              <w:jc w:val="left"/>
            </w:pPr>
            <w:r>
              <w:t xml:space="preserve">пожаро-опасность</w:t>
            </w:r>
          </w:p>
        </w:tc>
        <w:tc>
          <w:tcPr/>
          <w:p>
            <w:pPr>
              <w:pStyle w:val="Compact"/>
              <w:jc w:val="left"/>
            </w:pPr>
            <w:r>
              <w:t xml:space="preserve">Установка относится к категории ДН, если в ней присутствуют (хранятся, перерабатываются, транспортируются) в основном негорючие вещества и (или) материалы в холодном состоянии и если по перечисленным выше критериям она не относится к категории АН, БН, ВН или ГН</w:t>
            </w:r>
          </w:p>
        </w:tc>
      </w:tr>
    </w:tbl>
    <w:p>
      <w:pPr>
        <w:pStyle w:val="a0"/>
      </w:pPr>
      <w:r>
        <w:t xml:space="preserve">Определение категорий наружных установок следует осуществлять путём последовательной проверки их принадлежности к категориям, приведённым в таблице 2, от наиболее опасной (АН) к наименее опасной (ДН).</w:t>
      </w:r>
    </w:p>
    <w:p>
      <w:pPr>
        <w:pStyle w:val="a0"/>
      </w:pPr>
      <w:r>
        <w:t xml:space="preserve">В случае, если из-за отсутствия данных представляется невозможным оценить величину пожарного риска, допускается использование вместо неё следующих критериев.</w:t>
      </w:r>
    </w:p>
    <w:p>
      <w:pPr>
        <w:pStyle w:val="a0"/>
      </w:pPr>
      <w:r>
        <w:t xml:space="preserve">Для категорий АН и БН:</w:t>
      </w:r>
    </w:p>
    <w:p>
      <w:pPr>
        <w:pStyle w:val="a0"/>
      </w:pPr>
      <w:r>
        <w:t xml:space="preserve">- горизонтальный размер зоны, ограничивающей газопаровоздушные смеси с концентрацией горючего выше нижнего концентрационного предела распространения пламени (НКПР) по ГОСТ 12.1.044, превышает 30 м (данный критерий применяется только для горючих газов и паров) и (или) расчётное избыточное давление при сгорании газо-, паро- или пылевоздушной смеси на расстоянии 30 м от наружной установки превышает 5 кПа.</w:t>
      </w:r>
    </w:p>
    <w:p>
      <w:pPr>
        <w:pStyle w:val="a0"/>
      </w:pPr>
      <w:r>
        <w:t xml:space="preserve">Для категории ВН:</w:t>
      </w:r>
    </w:p>
    <w:p>
      <w:pPr>
        <w:pStyle w:val="a0"/>
      </w:pPr>
      <w:r>
        <w:t xml:space="preserve">- интенсивность теплового излучения от очага пожара веществ и (или) материалов, указанных для категории ВН, на расстоянии 30 м от наружной установки превышает 4 кВт/м².</w:t>
      </w:r>
    </w:p>
    <w:p>
      <w:pPr>
        <w:pStyle w:val="a0"/>
      </w:pPr>
      <w:r>
        <w:rPr>
          <w:u w:val="single"/>
          <w:bCs/>
          <w:b/>
        </w:rPr>
        <w:t xml:space="preserve">Классификация взрывоопасных зон по ПУЭ</w:t>
      </w:r>
      <w:r>
        <w:t xml:space="preserve"> </w:t>
      </w:r>
      <w:r>
        <w:t xml:space="preserve">приведена в главе 7.3 ПУЭ.</w:t>
      </w:r>
    </w:p>
    <w:p>
      <w:pPr>
        <w:pStyle w:val="a0"/>
      </w:pPr>
      <w:r>
        <w:t xml:space="preserve">При определении взрывоопасных зон принимается, что:</w:t>
      </w:r>
    </w:p>
    <w:p>
      <w:pPr>
        <w:pStyle w:val="a0"/>
      </w:pPr>
      <w:r>
        <w:t xml:space="preserve">а) взрывоопасная зона в помещении занимает весь объём помещения, если объём взрывоопасной смеси превышает 5 % свободного объёма помещения;</w:t>
      </w:r>
    </w:p>
    <w:p>
      <w:pPr>
        <w:pStyle w:val="a0"/>
      </w:pPr>
      <w:r>
        <w:t xml:space="preserve">б) взрывоопасной считается зона в помещении в пределах до 5 м по горизонтали и вертикали от технологического аппарата, из которого возможно выделение горючих газов или паров ЛВЖ, если объём взрывоопасной смеси равен или менее 5 % свободного объёма помещения (см. также 7.3.42, п.2 ПУЭ). Помещение за пределами взрывоопасной зоны следует считать невзрывоопасным, если нет других факторов, создающих в нём взрывоопасность;</w:t>
      </w:r>
    </w:p>
    <w:p>
      <w:pPr>
        <w:pStyle w:val="a0"/>
      </w:pPr>
      <w:r>
        <w:t xml:space="preserve">в) взрывоопасная зона наружных взрывоопасных установок ограничена размерами, определяемыми в 7.3.44 ПУЭ.</w:t>
      </w:r>
    </w:p>
    <w:p>
      <w:pPr>
        <w:pStyle w:val="a0"/>
      </w:pPr>
      <w:r>
        <w:rPr>
          <w:bCs/>
          <w:b/>
        </w:rPr>
        <w:t xml:space="preserve">Зоны класса В-I</w:t>
      </w:r>
      <w:r>
        <w:t xml:space="preserve"> </w:t>
      </w:r>
      <w:r>
        <w:t xml:space="preserve">— зоны, расположенные в помещениях, в которых выделяются горючие газы или пары ЛВЖ в таком количестве и с такими свойствами, что они могут образовать с воздухом взрывоопасные смеси при нормальных режимах работы, например при загрузке или разгрузке технологических аппаратов, хранении или переливании ЛВЖ, находящихся в открытых ёмкостях, и т.п.</w:t>
      </w:r>
    </w:p>
    <w:p>
      <w:pPr>
        <w:pStyle w:val="a0"/>
      </w:pPr>
      <w:r>
        <w:rPr>
          <w:bCs/>
          <w:b/>
        </w:rPr>
        <w:t xml:space="preserve">Зоны класса В-Iа</w:t>
      </w:r>
      <w:r>
        <w:t xml:space="preserve"> </w:t>
      </w:r>
      <w:r>
        <w:t xml:space="preserve">— зоны, расположенные в помещениях, в которых при нормальной эксплуатации взрывоопасные смеси горючих газов (независимо от нижнего концентрационного предела воспламенения) или паров ЛВЖ с воздухом не образуются, а возможны только в результате аварий или неисправностей.</w:t>
      </w:r>
    </w:p>
    <w:p>
      <w:pPr>
        <w:pStyle w:val="a0"/>
      </w:pPr>
      <w:r>
        <w:rPr>
          <w:bCs/>
          <w:b/>
        </w:rPr>
        <w:t xml:space="preserve">Зоны класса В-Iб</w:t>
      </w:r>
      <w:r>
        <w:t xml:space="preserve"> </w:t>
      </w:r>
      <w:r>
        <w:t xml:space="preserve">— зоны, расположенные в помещениях, в которых при нормальной эксплуатации взрывоопасные смеси горючих газов или паров ЛВЖ с воздухом не образуются, а возможны только в результате аварий или неисправностей и которые отличаются одной из следующих особенностей:</w:t>
      </w:r>
    </w:p>
    <w:p>
      <w:pPr>
        <w:pStyle w:val="a0"/>
      </w:pPr>
      <w:r>
        <w:t xml:space="preserve">1. Горючие газы в этих зонах обладают высоким нижним концентрационным пределом воспламенения (15 % и более) и резким запахом при предельно допустимых концентрациях по ГОСТ 12.1.005-88 (например, машинные залы аммиачных компрессорных и холодильных абсорбционных установок).</w:t>
      </w:r>
    </w:p>
    <w:p>
      <w:pPr>
        <w:pStyle w:val="a0"/>
      </w:pPr>
      <w:r>
        <w:t xml:space="preserve">2. Помещения производств, связанных с обращением газообразного водорода, в которых по условиям технологического процесса исключается образование взрывоопасной смеси в объёме, превышающем 5 % свободного объёма помещения, имеют взрывоопасную зону только в верхней части помещения. Взрывоопасная зона условно принимается от отметки 0,75 общей высоты помещения, считая от уровня пола, но не выше кранового пути, если таковой имеется (например, помещения электролиза воды, зарядные станции тяговых и статерных аккумуляторных батарей).</w:t>
      </w:r>
    </w:p>
    <w:p>
      <w:pPr>
        <w:pStyle w:val="a0"/>
      </w:pPr>
      <w:r>
        <w:t xml:space="preserve">Пункт 2 не распространяется на электромашинные помещения с турбогенераторами с водородным охлаждением при условии обеспечения электромашинного помещения вытяжной вентиляцией с естественным побуждением; эти электромашинные помещения имеют нормальную среду.</w:t>
      </w:r>
    </w:p>
    <w:p>
      <w:pPr>
        <w:pStyle w:val="a0"/>
      </w:pPr>
      <w:r>
        <w:t xml:space="preserve">К классу В-Iб относятся также зоны лабораторных и других помещений, в которых горючие газы и ЛВЖ имеются в небольших количествах, недостаточных для создания взрывоопасной смеси в объёме, превышающем 5 % свободного объёма помещения, и в которых работа с горючими газами и ЛВЖ производится без применения открытого пламени. Эти зоны не относятся к взрывоопасным, если работа с горючими газами и ЛВЖ производится в вытяжных шкафах или под вытяжными зонтами.</w:t>
      </w:r>
    </w:p>
    <w:p>
      <w:pPr>
        <w:pStyle w:val="a0"/>
      </w:pPr>
      <w:r>
        <w:rPr>
          <w:bCs/>
          <w:b/>
        </w:rPr>
        <w:t xml:space="preserve">Зоны класса В-Iг</w:t>
      </w:r>
      <w:r>
        <w:t xml:space="preserve"> </w:t>
      </w:r>
      <w:r>
        <w:t xml:space="preserve">— пространства у наружных установок: технологических установок, содержащих горючие газы или ЛВЖ (за исключением наружных аммиачных компрессорных установок, выбор электрооборудования для которых производится согласно 7.3.64) надземных и подземных резервуаров с ЛВЖ или горючими газами (газгольдеры), эстакад для слива и налива ЛВЖ, открытых нефтелову-шек, прудов-отстойников с плавающей нефтяной пленкой и т. п.</w:t>
      </w:r>
    </w:p>
    <w:p>
      <w:pPr>
        <w:pStyle w:val="a0"/>
      </w:pPr>
      <w:r>
        <w:t xml:space="preserve">К зонам класса В-Iг также относятся: пространства у проёмов за наружными ограждающими конструкциями помещений со взрывоопасными зонами классов В-I, В-Iа и В-II (исключение — проёмы окон с заполнением стеклоблоками); пространства у наружных ограждающих конструкций, если на них расположены устройства для выброса воздуха из систем вытяжной вентиляции помещений со взрывоопасными зонами любого класса или если они находятся в пределах наружной взрывоопасной зоны; пространства у предохранительных и дыхательных клапанов ёмкостей и технологических аппаратов с горючими газами и ЛВЖ.</w:t>
      </w:r>
    </w:p>
    <w:p>
      <w:pPr>
        <w:pStyle w:val="a0"/>
      </w:pPr>
      <w:r>
        <w:t xml:space="preserve">Для наружных взрывоопасных установок взрывоопасная зона класса В-Iг считается в пределах до:</w:t>
      </w:r>
    </w:p>
    <w:p>
      <w:pPr>
        <w:pStyle w:val="a0"/>
      </w:pPr>
      <w:r>
        <w:t xml:space="preserve">а) 0,5 м по горизонтали и вертикали от проёмов за наружными ограждающими конструкциями помещений со взрывоопасными зонами классов В-I, В-Iа, В-II;</w:t>
      </w:r>
    </w:p>
    <w:p>
      <w:pPr>
        <w:pStyle w:val="a0"/>
      </w:pPr>
      <w:r>
        <w:t xml:space="preserve">б) 3 м по горизонтали и вертикали от закрытого технологического аппарата, содержащего горючие газы или ЛВЖ; от вытяжного вентилятора, установленного снаружи (на улице) и обслуживающего помещения со взрывоопасными зонами любого класса;</w:t>
      </w:r>
    </w:p>
    <w:p>
      <w:pPr>
        <w:pStyle w:val="a0"/>
      </w:pPr>
      <w:r>
        <w:t xml:space="preserve">в) 5 м по горизонтали и вертикали от устройств для выброса из предохранительных и дыхательных клапанов ёмкостей и технологических аппаратов с горючими газами или ЛВЖ, от расположенных на ограждающих конструкциях зданий устройств для выброса воздуха из систем вытяжной вентиляции помещений с взрывоопасными зонами любого класса;</w:t>
      </w:r>
    </w:p>
    <w:p>
      <w:pPr>
        <w:pStyle w:val="a0"/>
      </w:pPr>
      <w:r>
        <w:t xml:space="preserve">г) 8 м по горизонтали и вертикали от резервуаров с ЛВЖ или горючими газами (газгольдеры); при наличии обвалования — в пределах всей площади внутри обвалования;</w:t>
      </w:r>
    </w:p>
    <w:p>
      <w:pPr>
        <w:pStyle w:val="a0"/>
      </w:pPr>
      <w:r>
        <w:t xml:space="preserve">д) 20 м по горизонтали и вертикали от места открытою слива и налива для эстакад с открытым сливом и наливом ЛВЖ.</w:t>
      </w:r>
    </w:p>
    <w:p>
      <w:pPr>
        <w:pStyle w:val="a0"/>
      </w:pPr>
      <w:r>
        <w:t xml:space="preserve">Эстакады с закрытыми сливно-наливными устройствами, эстакады и опоры под трубопроводы для горючих газов и ЛВЖ не относятся к взрывоопасным, за исключением зон в пределах до 3 м по горизонтали и вертикали от запорной арматуры и фланцевых соединений трубопроводов, в пределах которых электрооборудование должно быть взрывозащищённым для соответствующих категории и группы взрывоопасной смеси.</w:t>
      </w:r>
    </w:p>
    <w:p>
      <w:pPr>
        <w:pStyle w:val="a0"/>
      </w:pPr>
      <w:r>
        <w:rPr>
          <w:bCs/>
          <w:b/>
        </w:rPr>
        <w:t xml:space="preserve">Зоны класса В-II</w:t>
      </w:r>
      <w:r>
        <w:t xml:space="preserve"> </w:t>
      </w:r>
      <w:r>
        <w:t xml:space="preserve">— зоны, расположенные в помещениях, в которых выделяются переходящие во взвешенное состояние горючие пыли или волокна в таком количестве и с такими свойствами, что они способны образовать с воздухом взрывоопасные смеси при нормальных режимах работы (например, при загрузке и разгрузке технологических аппаратов).</w:t>
      </w:r>
    </w:p>
    <w:p>
      <w:pPr>
        <w:pStyle w:val="a0"/>
      </w:pPr>
      <w:r>
        <w:rPr>
          <w:bCs/>
          <w:b/>
        </w:rPr>
        <w:t xml:space="preserve">Зоны класса В-IIа</w:t>
      </w:r>
      <w:r>
        <w:t xml:space="preserve"> </w:t>
      </w:r>
      <w:r>
        <w:t xml:space="preserve">— зоны, расположенные в помещениях, в которых опасные состояния, указанные в 7.3.45 ПУЭ, не имеют места при нормальной эксплуатации, а возможны только в результате аварий или неисправностей.</w:t>
      </w:r>
    </w:p>
    <w:p>
      <w:pPr>
        <w:pStyle w:val="a0"/>
      </w:pPr>
      <w:r>
        <w:t xml:space="preserve">Зоны в помещениях и зоны наружных установок в пределах до 5 м по горизонтали и вертикали от аппарата, в котором присутствуют или могут возникнуть взрывоопасные смеси, но технологический процесс ведётся с применением открытого огня, раскалённых частей либо технологические аппараты имеют поверхности, нагретые до температуры самовоспламенения горючих газов, паров ЛВЖ, горючих пылей или волокон,</w:t>
      </w:r>
      <w:r>
        <w:t xml:space="preserve"> </w:t>
      </w:r>
      <w:r>
        <w:rPr>
          <w:bCs/>
          <w:b/>
        </w:rPr>
        <w:t xml:space="preserve">не относятся в части их электрооборудования к взрывоопасным</w:t>
      </w:r>
      <w:r>
        <w:t xml:space="preserve">. Классификацию среды в помещениях или среды наружных установок за пределами указанной 5-метровой зоны следует определять в зависимости от технологических процессов, применяемых в этой среде.</w:t>
      </w:r>
    </w:p>
    <w:p>
      <w:pPr>
        <w:pStyle w:val="a0"/>
      </w:pPr>
      <w:r>
        <w:t xml:space="preserve">Зоны в помещениях и зоны наружных установок, в которых твёрдые, жидкие и газообразные горючие вещества сжигаются в качестве топлива или утилизируются путём сжигания,</w:t>
      </w:r>
      <w:r>
        <w:t xml:space="preserve"> </w:t>
      </w:r>
      <w:r>
        <w:rPr>
          <w:bCs/>
          <w:b/>
        </w:rPr>
        <w:t xml:space="preserve">не относятся в части их электрооборудования к взрывоопасным</w:t>
      </w:r>
      <w:r>
        <w:t xml:space="preserve">.</w:t>
      </w:r>
    </w:p>
    <w:p>
      <w:pPr>
        <w:pStyle w:val="a0"/>
      </w:pPr>
      <w:r>
        <w:t xml:space="preserve">Класс зоны помещения, смежного со взрывоопасной зоной другого помещения, определяется по таблице 7.3.9. ПУЭ (размер зоны — до 5 м по горизонтали и вертикали от проёма двери).</w:t>
      </w:r>
    </w:p>
    <w:p>
      <w:pPr>
        <w:pStyle w:val="a0"/>
      </w:pPr>
      <w:r>
        <w:rPr>
          <w:u w:val="single"/>
          <w:bCs/>
          <w:b/>
        </w:rPr>
        <w:t xml:space="preserve">Классификация пожароопасных зон по ПУЭ</w:t>
      </w:r>
      <w:r>
        <w:t xml:space="preserve"> </w:t>
      </w:r>
      <w:r>
        <w:t xml:space="preserve">приведена в 7.4.3-7.4.6 ПУЭ.</w:t>
      </w:r>
    </w:p>
    <w:p>
      <w:pPr>
        <w:pStyle w:val="a0"/>
      </w:pPr>
      <w:r>
        <w:rPr>
          <w:bCs/>
          <w:b/>
        </w:rPr>
        <w:t xml:space="preserve">Зоны класса П-I</w:t>
      </w:r>
      <w:r>
        <w:t xml:space="preserve"> </w:t>
      </w:r>
      <w:r>
        <w:t xml:space="preserve">— зоны, расположенные в помещениях в которых обращаются горючие жидкости с температурой вспышки выше 61 °С.</w:t>
      </w:r>
    </w:p>
    <w:p>
      <w:pPr>
        <w:pStyle w:val="a0"/>
      </w:pPr>
      <w:r>
        <w:rPr>
          <w:bCs/>
          <w:b/>
        </w:rPr>
        <w:t xml:space="preserve">Зоны класса П-II</w:t>
      </w:r>
      <w:r>
        <w:t xml:space="preserve"> </w:t>
      </w:r>
      <w:r>
        <w:t xml:space="preserve">— зоны, расположенные в помещениях в которых выделяются горючие пыль или волокна с нижним концентрационным пределом воспламенения более 65 г/м³ к объёму воздуха.</w:t>
      </w:r>
    </w:p>
    <w:p>
      <w:pPr>
        <w:pStyle w:val="a0"/>
      </w:pPr>
      <w:r>
        <w:rPr>
          <w:bCs/>
          <w:b/>
        </w:rPr>
        <w:t xml:space="preserve">Зоны класса П-IIа</w:t>
      </w:r>
      <w:r>
        <w:t xml:space="preserve"> </w:t>
      </w:r>
      <w:r>
        <w:t xml:space="preserve">— зоны, расположенные в помещениях, в которых обращаются твёрдые горючие вещества.</w:t>
      </w:r>
    </w:p>
    <w:p>
      <w:pPr>
        <w:pStyle w:val="a0"/>
      </w:pPr>
      <w:r>
        <w:rPr>
          <w:bCs/>
          <w:b/>
        </w:rPr>
        <w:t xml:space="preserve">Зоны класса П-III</w:t>
      </w:r>
      <w:r>
        <w:t xml:space="preserve"> </w:t>
      </w:r>
      <w:r>
        <w:t xml:space="preserve">— расположенные вне помещения зоны, в которых обращаются горючие жидкости с температурой вспышки выше 61 °С или твёрдые горючие вещества.</w:t>
      </w:r>
    </w:p>
    <w:p>
      <w:pPr>
        <w:pStyle w:val="a0"/>
      </w:pPr>
      <w:r>
        <w:t xml:space="preserve">Зоны в помещениях и зоны наружных установок в пределах до 5 м по горизонтали и вертикали от аппарата, в которых постоянно или периодически обращаются горючие вещества, но технологический процесс ведётся с применением открытого огня, раскалённых частей либо технологические аппараты имеют поверхности, нагретые до температуры самовоспламенения горючих паров, пылей или волокон</w:t>
      </w:r>
      <w:r>
        <w:t xml:space="preserve"> </w:t>
      </w:r>
      <w:r>
        <w:rPr>
          <w:bCs/>
          <w:b/>
        </w:rPr>
        <w:t xml:space="preserve">не относятся в части их электрооборудования к пожароопасным</w:t>
      </w:r>
      <w:r>
        <w:t xml:space="preserve">. Класс среды в помещениях или среды наружных установок за пределами укачанной 5-метровой зоны следует определять в зависимости от технологических процессов, применяемых в этой среде.</w:t>
      </w:r>
    </w:p>
    <w:p>
      <w:pPr>
        <w:pStyle w:val="a0"/>
      </w:pPr>
      <w:r>
        <w:t xml:space="preserve">Зоны в помещениях и зоны наружных установок, в которых твёрдые, жидкие и газообразные горючие вещества сжигаются в качестве топлива или утилизируются путём сжигания,</w:t>
      </w:r>
      <w:r>
        <w:t xml:space="preserve"> </w:t>
      </w:r>
      <w:r>
        <w:rPr>
          <w:bCs/>
          <w:b/>
        </w:rPr>
        <w:t xml:space="preserve">не относятся в части их электрооборудования к пожароопасным</w:t>
      </w:r>
      <w:r>
        <w:t xml:space="preserve">.</w:t>
      </w:r>
    </w:p>
    <w:p>
      <w:pPr>
        <w:pStyle w:val="a0"/>
      </w:pPr>
      <w:r>
        <w:rPr>
          <w:u w:val="single"/>
          <w:bCs/>
          <w:b/>
        </w:rPr>
        <w:t xml:space="preserve">Классификация пожароопасных и взрывоопасных зон согласно ФЗ №123</w:t>
      </w:r>
      <w:r>
        <w:t xml:space="preserve"> </w:t>
      </w:r>
      <w:r>
        <w:t xml:space="preserve">приведена в главе 5 этого федерального закона.</w:t>
      </w:r>
    </w:p>
    <w:p>
      <w:pPr>
        <w:pStyle w:val="a0"/>
      </w:pPr>
      <w:r>
        <w:t xml:space="preserve">Пожароопасные зоны подразделяются на следующие классы:</w:t>
      </w:r>
    </w:p>
    <w:p>
      <w:pPr>
        <w:pStyle w:val="a0"/>
      </w:pPr>
      <w:r>
        <w:rPr>
          <w:bCs/>
          <w:b/>
        </w:rPr>
        <w:t xml:space="preserve">П-I</w:t>
      </w:r>
      <w:r>
        <w:t xml:space="preserve"> </w:t>
      </w:r>
      <w:r>
        <w:t xml:space="preserve">— зоны, расположенные в помещениях, в которых обращаются горючие жидкости с температурой вспышки 61 и более градуса Цельсия;</w:t>
      </w:r>
    </w:p>
    <w:p>
      <w:pPr>
        <w:pStyle w:val="a0"/>
      </w:pPr>
      <w:r>
        <w:rPr>
          <w:bCs/>
          <w:b/>
        </w:rPr>
        <w:t xml:space="preserve">П-II</w:t>
      </w:r>
      <w:r>
        <w:t xml:space="preserve"> </w:t>
      </w:r>
      <w:r>
        <w:t xml:space="preserve">— зоны, расположенные в помещениях, в которых выделяются горючие пыли или волокна;</w:t>
      </w:r>
    </w:p>
    <w:p>
      <w:pPr>
        <w:pStyle w:val="a0"/>
      </w:pPr>
      <w:r>
        <w:rPr>
          <w:bCs/>
          <w:b/>
        </w:rPr>
        <w:t xml:space="preserve">П-IIа</w:t>
      </w:r>
      <w:r>
        <w:t xml:space="preserve"> </w:t>
      </w:r>
      <w:r>
        <w:t xml:space="preserve">— зоны, расположенные в помещениях, в которых обращаются твёрдые горючие вещества в количестве, при котором удельная пожарная нагрузка составляет не менее 1 мегаджоуля на квадратный метр;</w:t>
      </w:r>
    </w:p>
    <w:p>
      <w:pPr>
        <w:pStyle w:val="a0"/>
      </w:pPr>
      <w:r>
        <w:rPr>
          <w:bCs/>
          <w:b/>
        </w:rPr>
        <w:t xml:space="preserve">П-III</w:t>
      </w:r>
      <w:r>
        <w:t xml:space="preserve"> </w:t>
      </w:r>
      <w:r>
        <w:t xml:space="preserve">— зоны, расположенные вне зданий, сооружений, в которых обращаются горючие жидкости с температурой вспышки 61 и более градуса Цельсия или любые твёрдые горючие вещества.</w:t>
      </w:r>
    </w:p>
    <w:p>
      <w:pPr>
        <w:pStyle w:val="a0"/>
      </w:pPr>
      <w:r>
        <w:t xml:space="preserve">В зависимости от частоты и длительности присутствия взрывоопасной смеси взрывоопасные зоны подразделяются на следующие классы:</w:t>
      </w:r>
    </w:p>
    <w:p>
      <w:pPr>
        <w:pStyle w:val="a0"/>
      </w:pPr>
      <w:r>
        <w:rPr>
          <w:bCs/>
          <w:b/>
        </w:rPr>
        <w:t xml:space="preserve">0-й класс</w:t>
      </w:r>
      <w:r>
        <w:t xml:space="preserve"> </w:t>
      </w:r>
      <w:r>
        <w:t xml:space="preserve">— зоны, в которых взрывоопасная смесь газов или паров жидкостей с воздухом присутствует постоянно или хотя бы в течение одного часа;</w:t>
      </w:r>
    </w:p>
    <w:p>
      <w:pPr>
        <w:pStyle w:val="a0"/>
      </w:pPr>
      <w:r>
        <w:rPr>
          <w:bCs/>
          <w:b/>
        </w:rPr>
        <w:t xml:space="preserve">1-й класс</w:t>
      </w:r>
      <w:r>
        <w:t xml:space="preserve"> </w:t>
      </w:r>
      <w:r>
        <w:t xml:space="preserve">— зоны, в которых при нормальном режиме работы оборудования выделяются горючие газы или пары легковоспламеняющихся жидкостей, образующие с воздухом взрывоопасные смеси;</w:t>
      </w:r>
    </w:p>
    <w:p>
      <w:pPr>
        <w:pStyle w:val="a0"/>
      </w:pPr>
      <w:r>
        <w:rPr>
          <w:bCs/>
          <w:b/>
        </w:rPr>
        <w:t xml:space="preserve">2-й класс</w:t>
      </w:r>
      <w:r>
        <w:t xml:space="preserve"> </w:t>
      </w:r>
      <w:r>
        <w:t xml:space="preserve">— зоны, в которых при нормальном режиме работы оборудования не образуются взрывоопасные смеси газов или паров жидкостей с воздухом, но возможно образование такой взрывоопасной смеси газов или паров жидкостей с воздухом только в результате аварии или повреждения технологического оборудования;</w:t>
      </w:r>
    </w:p>
    <w:p>
      <w:pPr>
        <w:pStyle w:val="a0"/>
      </w:pPr>
      <w:r>
        <w:rPr>
          <w:bCs/>
          <w:b/>
        </w:rPr>
        <w:t xml:space="preserve">20-й класс</w:t>
      </w:r>
      <w:r>
        <w:t xml:space="preserve"> </w:t>
      </w:r>
      <w:r>
        <w:t xml:space="preserve">— зоны, в которых взрывоопасные смеси горючей пыли с воздухом имеют нижний концентрационный предел воспламенения менее 65 граммов на кубический метр и присутствуют постоянно;</w:t>
      </w:r>
    </w:p>
    <w:p>
      <w:pPr>
        <w:pStyle w:val="a0"/>
      </w:pPr>
      <w:r>
        <w:rPr>
          <w:bCs/>
          <w:b/>
        </w:rPr>
        <w:t xml:space="preserve">21-й класс</w:t>
      </w:r>
      <w:r>
        <w:t xml:space="preserve"> </w:t>
      </w:r>
      <w:r>
        <w:t xml:space="preserve">— зоны, расположенные в помещениях, в которых при нормальном режиме работы оборудования выделяются переходящие во взвешенное состояние горючие пыли или волокна, способные образовывать с воздухом взрывоопасные смеси при концентрации 65 и менее граммов на кубический метр;</w:t>
      </w:r>
    </w:p>
    <w:p>
      <w:pPr>
        <w:pStyle w:val="a0"/>
      </w:pPr>
      <w:r>
        <w:rPr>
          <w:bCs/>
          <w:b/>
        </w:rPr>
        <w:t xml:space="preserve">22-й класс</w:t>
      </w:r>
      <w:r>
        <w:t xml:space="preserve"> </w:t>
      </w:r>
      <w:r>
        <w:t xml:space="preserve">— зоны, расположенные в помещениях, в которых при нормальном режиме работы оборудования не образуются взрывоопасные смеси горючих пылей или волокон с воздухом при концентрации 65 и менее граммов на кубический метр, но возможно образование такой взрывоопасной смеси горючих пылей или волокон с воздухом только в результате аварии или повреждения технологического оборудования.</w:t>
      </w:r>
    </w:p>
    <w:bookmarkEnd w:id="20"/>
    <w:bookmarkStart w:id="21" w:name="общие-сведения"/>
    <w:p>
      <w:pPr>
        <w:pStyle w:val="1"/>
      </w:pPr>
      <w:r>
        <w:t xml:space="preserve">Общие сведения</w:t>
      </w:r>
    </w:p>
    <w:p>
      <w:pPr>
        <w:pStyle w:val="FirstParagraph"/>
      </w:pPr>
      <w:r>
        <w:t xml:space="preserve">(пользователь приводит общие данные об объекте расчёта. Описывает общие сведения, расположение, назначение, и другую необходимую информацию)</w:t>
      </w:r>
    </w:p>
    <w:bookmarkEnd w:id="21"/>
    <w:bookmarkStart w:id="32" w:name="Xc151474085742f6dd62ea9eb7b525c170373bc6"/>
    <w:p>
      <w:pPr>
        <w:pStyle w:val="1"/>
      </w:pPr>
      <w:r>
        <w:t xml:space="preserve">Характеристики применяемых горючих веществ и материалов</w:t>
      </w:r>
    </w:p>
    <w:bookmarkStart w:id="26" w:name="горючие-жидкости"/>
    <w:p>
      <w:pPr>
        <w:pStyle w:val="2"/>
      </w:pPr>
      <w:r>
        <w:t xml:space="preserve">Горючие жидкости</w:t>
      </w:r>
    </w:p>
    <w:bookmarkStart w:id="22" w:name="дизельное-топливо-3-гост-305-73"/>
    <w:p>
      <w:pPr>
        <w:pStyle w:val="4"/>
      </w:pPr>
      <w:r>
        <w:t xml:space="preserve">"Дизельное топливо ""3"" (ГОСТ 305-73)"""</w:t>
      </w:r>
    </w:p>
    <w:tbl>
      <w:tblPr>
        <w:tblStyle w:val="Table"/>
        <w:tblW w:type="pct" w:w="5000"/>
        <w:tblLook w:firstRow="1" w:lastRow="0" w:firstColumn="0" w:lastColumn="0" w:noHBand="0" w:noVBand="0" w:val="0020"/>
      </w:tblPr>
      <w:tblGrid>
        <w:gridCol w:w="5544"/>
        <w:gridCol w:w="2376"/>
      </w:tblGrid>
      <w:tr>
        <w:trPr>
          <w:tblHeader w:val="true"/>
        </w:trPr>
        <w:tc>
          <w:tcPr/>
          <w:p>
            <w:pPr>
              <w:pStyle w:val="Compact"/>
              <w:jc w:val="left"/>
            </w:pPr>
            <w:r>
              <w:t xml:space="preserve">Наименование</w:t>
            </w:r>
          </w:p>
        </w:tc>
        <w:tc>
          <w:tcPr/>
          <w:p>
            <w:pPr>
              <w:pStyle w:val="Compact"/>
              <w:jc w:val="left"/>
            </w:pPr>
            <w:r>
              <w:t xml:space="preserve">"Дизельное топливо ""3"" (ГОСТ 305-73)"""</w:t>
            </w:r>
          </w:p>
        </w:tc>
      </w:tr>
      <w:tr>
        <w:tc>
          <w:tcPr/>
          <w:p>
            <w:pPr>
              <w:pStyle w:val="Compact"/>
              <w:jc w:val="left"/>
            </w:pPr>
            <w:r>
              <w:t xml:space="preserve">Описание</w:t>
            </w:r>
          </w:p>
        </w:tc>
        <w:tc>
          <w:tcPr/>
          <w:p>
            <w:pPr>
              <w:pStyle w:val="Compact"/>
              <w:jc w:val="left"/>
            </w:pPr>
            <w:r>
              <w:t xml:space="preserve">С12,343Н23,889</w:t>
            </w:r>
          </w:p>
        </w:tc>
      </w:tr>
      <w:tr>
        <w:tc>
          <w:tcPr/>
          <w:p>
            <w:pPr>
              <w:pStyle w:val="Compact"/>
              <w:jc w:val="left"/>
            </w:pPr>
            <w:r>
              <w:t xml:space="preserve">Теплота сгорания</w:t>
            </w:r>
          </w:p>
        </w:tc>
        <w:tc>
          <w:tcPr/>
          <w:p>
            <w:pPr>
              <w:pStyle w:val="Compact"/>
              <w:jc w:val="left"/>
            </w:pPr>
            <w:r>
              <w:t xml:space="preserve">43,59 МДж/кг</w:t>
            </w:r>
          </w:p>
        </w:tc>
      </w:tr>
      <w:tr>
        <w:tc>
          <w:tcPr/>
          <w:p>
            <w:pPr>
              <w:pStyle w:val="Compact"/>
              <w:jc w:val="left"/>
            </w:pPr>
            <w:r>
              <w:t xml:space="preserve">Массовая скорость выгорания</w:t>
            </w:r>
          </w:p>
        </w:tc>
        <w:tc>
          <w:tcPr/>
          <w:p>
            <w:pPr>
              <w:pStyle w:val="Compact"/>
              <w:jc w:val="left"/>
            </w:pPr>
            <w:r>
              <w:t xml:space="preserve">0,042 кг/(с·м²)</w:t>
            </w:r>
          </w:p>
        </w:tc>
      </w:tr>
      <w:tr>
        <w:tc>
          <w:tcPr/>
          <w:p>
            <w:pPr>
              <w:pStyle w:val="Compact"/>
              <w:jc w:val="left"/>
            </w:pPr>
            <w:r>
              <w:t xml:space="preserve">Молярная масса</w:t>
            </w:r>
          </w:p>
        </w:tc>
        <w:tc>
          <w:tcPr/>
          <w:p>
            <w:pPr>
              <w:pStyle w:val="Compact"/>
              <w:jc w:val="left"/>
            </w:pPr>
            <w:r>
              <w:t xml:space="preserve">172,3 кг/кмоль</w:t>
            </w:r>
          </w:p>
        </w:tc>
      </w:tr>
      <w:tr>
        <w:tc>
          <w:tcPr/>
          <w:p>
            <w:pPr>
              <w:pStyle w:val="Compact"/>
              <w:jc w:val="left"/>
            </w:pPr>
            <w:r>
              <w:t xml:space="preserve">Нижний концентрационный предел распространения пламени</w:t>
            </w:r>
          </w:p>
        </w:tc>
        <w:tc>
          <w:tcPr/>
          <w:p>
            <w:pPr>
              <w:pStyle w:val="Compact"/>
              <w:jc w:val="left"/>
            </w:pPr>
            <w:r>
              <w:t xml:space="preserve">0,61 % об.</w:t>
            </w:r>
          </w:p>
        </w:tc>
      </w:tr>
      <w:tr>
        <w:tc>
          <w:tcPr/>
          <w:p>
            <w:pPr>
              <w:pStyle w:val="Compact"/>
              <w:jc w:val="left"/>
            </w:pPr>
            <w:r>
              <w:t xml:space="preserve">Температура вспышки</w:t>
            </w:r>
          </w:p>
        </w:tc>
        <w:tc>
          <w:tcPr/>
          <w:p>
            <w:pPr>
              <w:pStyle w:val="Compact"/>
              <w:jc w:val="left"/>
            </w:pPr>
            <w:r>
              <w:t xml:space="preserve">48 °C</w:t>
            </w:r>
          </w:p>
        </w:tc>
      </w:tr>
      <w:tr>
        <w:tc>
          <w:tcPr/>
          <w:p>
            <w:pPr>
              <w:pStyle w:val="Compact"/>
              <w:jc w:val="left"/>
            </w:pPr>
            <w:r>
              <w:t xml:space="preserve">Температура кипения</w:t>
            </w:r>
          </w:p>
        </w:tc>
        <w:tc>
          <w:tcPr/>
          <w:p>
            <w:pPr>
              <w:pStyle w:val="Compact"/>
              <w:jc w:val="left"/>
            </w:pPr>
            <w:r>
              <w:t xml:space="preserve">209 °C</w:t>
            </w:r>
          </w:p>
        </w:tc>
      </w:tr>
      <w:tr>
        <w:tc>
          <w:tcPr/>
          <w:p>
            <w:pPr>
              <w:pStyle w:val="Compact"/>
              <w:jc w:val="left"/>
            </w:pPr>
            <w:r>
              <w:t xml:space="preserve">Плотность жидкости</w:t>
            </w:r>
          </w:p>
        </w:tc>
        <w:tc>
          <w:tcPr/>
          <w:p>
            <w:pPr>
              <w:pStyle w:val="Compact"/>
              <w:jc w:val="left"/>
            </w:pPr>
            <w:r>
              <w:t xml:space="preserve">804 кг/м³</w:t>
            </w:r>
          </w:p>
        </w:tc>
      </w:tr>
      <w:tr>
        <w:tc>
          <w:tcPr/>
          <w:p>
            <w:pPr>
              <w:pStyle w:val="Compact"/>
              <w:jc w:val="left"/>
            </w:pPr>
            <w:r>
              <w:t xml:space="preserve">Удельная площадь разлива в помещении</w:t>
            </w:r>
          </w:p>
        </w:tc>
        <w:tc>
          <w:tcPr/>
          <w:p>
            <w:pPr>
              <w:pStyle w:val="Compact"/>
              <w:jc w:val="left"/>
            </w:pPr>
            <w:r>
              <w:t xml:space="preserve">1 м²/л</w:t>
            </w:r>
          </w:p>
        </w:tc>
      </w:tr>
      <w:tr>
        <w:tc>
          <w:tcPr/>
          <w:p>
            <w:pPr>
              <w:pStyle w:val="Compact"/>
              <w:jc w:val="left"/>
            </w:pPr>
            <w:r>
              <w:t xml:space="preserve">Удельная площадь разлива для наружной установки</w:t>
            </w:r>
          </w:p>
        </w:tc>
        <w:tc>
          <w:tcPr/>
          <w:p>
            <w:pPr>
              <w:pStyle w:val="Compact"/>
              <w:jc w:val="left"/>
            </w:pPr>
            <w:r>
              <w:t xml:space="preserve">0,15 м²/л</w:t>
            </w:r>
          </w:p>
        </w:tc>
      </w:tr>
      <w:tr>
        <w:tc>
          <w:tcPr/>
          <w:p>
            <w:pPr>
              <w:pStyle w:val="Compact"/>
              <w:jc w:val="left"/>
            </w:pPr>
            <w:r>
              <w:t xml:space="preserve">Константа Антуана А</w:t>
            </w:r>
          </w:p>
        </w:tc>
        <w:tc>
          <w:tcPr/>
          <w:p>
            <w:pPr>
              <w:pStyle w:val="Compact"/>
              <w:jc w:val="left"/>
            </w:pPr>
            <w:r>
              <w:t xml:space="preserve">5,07818</w:t>
            </w:r>
          </w:p>
        </w:tc>
      </w:tr>
      <w:tr>
        <w:tc>
          <w:tcPr/>
          <w:p>
            <w:pPr>
              <w:pStyle w:val="Compact"/>
              <w:jc w:val="left"/>
            </w:pPr>
            <w:r>
              <w:t xml:space="preserve">Константа Антуана В</w:t>
            </w:r>
          </w:p>
        </w:tc>
        <w:tc>
          <w:tcPr/>
          <w:p>
            <w:pPr>
              <w:pStyle w:val="Compact"/>
              <w:jc w:val="left"/>
            </w:pPr>
            <w:r>
              <w:t xml:space="preserve">1255,73</w:t>
            </w:r>
          </w:p>
        </w:tc>
      </w:tr>
      <w:tr>
        <w:tc>
          <w:tcPr/>
          <w:p>
            <w:pPr>
              <w:pStyle w:val="Compact"/>
              <w:jc w:val="left"/>
            </w:pPr>
            <w:r>
              <w:t xml:space="preserve">Константа Антуана Са</w:t>
            </w:r>
          </w:p>
        </w:tc>
        <w:tc>
          <w:tcPr/>
          <w:p>
            <w:pPr>
              <w:pStyle w:val="Compact"/>
              <w:jc w:val="left"/>
            </w:pPr>
            <w:r>
              <w:t xml:space="preserve">199,523</w:t>
            </w:r>
          </w:p>
        </w:tc>
      </w:tr>
    </w:tbl>
    <w:bookmarkEnd w:id="22"/>
    <w:bookmarkStart w:id="23" w:name="ацетон"/>
    <w:p>
      <w:pPr>
        <w:pStyle w:val="4"/>
      </w:pPr>
      <w:r>
        <w:t xml:space="preserve">Ацетон</w:t>
      </w:r>
    </w:p>
    <w:tbl>
      <w:tblPr>
        <w:tblStyle w:val="Table"/>
        <w:tblW w:type="pct" w:w="5000"/>
        <w:tblLook w:firstRow="1" w:lastRow="0" w:firstColumn="0" w:lastColumn="0" w:noHBand="0" w:noVBand="0" w:val="0020"/>
      </w:tblPr>
      <w:tblGrid>
        <w:gridCol w:w="5544"/>
        <w:gridCol w:w="2376"/>
      </w:tblGrid>
      <w:tr>
        <w:trPr>
          <w:tblHeader w:val="true"/>
        </w:trPr>
        <w:tc>
          <w:tcPr/>
          <w:p>
            <w:pPr>
              <w:pStyle w:val="Compact"/>
              <w:jc w:val="left"/>
            </w:pPr>
            <w:r>
              <w:t xml:space="preserve">Наименование</w:t>
            </w:r>
          </w:p>
        </w:tc>
        <w:tc>
          <w:tcPr/>
          <w:p>
            <w:pPr>
              <w:pStyle w:val="Compact"/>
              <w:jc w:val="left"/>
            </w:pPr>
            <w:r>
              <w:t xml:space="preserve">Ацетон</w:t>
            </w:r>
          </w:p>
        </w:tc>
      </w:tr>
      <w:tr>
        <w:tc>
          <w:tcPr/>
          <w:p>
            <w:pPr>
              <w:pStyle w:val="Compact"/>
              <w:jc w:val="left"/>
            </w:pPr>
            <w:r>
              <w:t xml:space="preserve">Описание</w:t>
            </w:r>
          </w:p>
        </w:tc>
        <w:tc>
          <w:tcPr/>
          <w:p>
            <w:pPr>
              <w:pStyle w:val="Compact"/>
              <w:jc w:val="left"/>
            </w:pPr>
            <w:r>
              <w:t xml:space="preserve">C3H6O</w:t>
            </w:r>
          </w:p>
        </w:tc>
      </w:tr>
      <w:tr>
        <w:tc>
          <w:tcPr/>
          <w:p>
            <w:pPr>
              <w:pStyle w:val="Compact"/>
              <w:jc w:val="left"/>
            </w:pPr>
            <w:r>
              <w:t xml:space="preserve">Теплота сгорания</w:t>
            </w:r>
          </w:p>
        </w:tc>
        <w:tc>
          <w:tcPr/>
          <w:p>
            <w:pPr>
              <w:pStyle w:val="Compact"/>
              <w:jc w:val="left"/>
            </w:pPr>
            <w:r>
              <w:t xml:space="preserve">31,36 МДж/кг</w:t>
            </w:r>
          </w:p>
        </w:tc>
      </w:tr>
      <w:tr>
        <w:tc>
          <w:tcPr/>
          <w:p>
            <w:pPr>
              <w:pStyle w:val="Compact"/>
              <w:jc w:val="left"/>
            </w:pPr>
            <w:r>
              <w:t xml:space="preserve">Массовая скорость выгорания</w:t>
            </w:r>
          </w:p>
        </w:tc>
        <w:tc>
          <w:tcPr/>
          <w:p>
            <w:pPr>
              <w:pStyle w:val="Compact"/>
              <w:jc w:val="left"/>
            </w:pPr>
            <w:r>
              <w:t xml:space="preserve">0,06 кг/(с·м²)</w:t>
            </w:r>
          </w:p>
        </w:tc>
      </w:tr>
      <w:tr>
        <w:tc>
          <w:tcPr/>
          <w:p>
            <w:pPr>
              <w:pStyle w:val="Compact"/>
              <w:jc w:val="left"/>
            </w:pPr>
            <w:r>
              <w:t xml:space="preserve">Молярная масса</w:t>
            </w:r>
          </w:p>
        </w:tc>
        <w:tc>
          <w:tcPr/>
          <w:p>
            <w:pPr>
              <w:pStyle w:val="Compact"/>
              <w:jc w:val="left"/>
            </w:pPr>
            <w:r>
              <w:t xml:space="preserve">58,1 кг/кмоль</w:t>
            </w:r>
          </w:p>
        </w:tc>
      </w:tr>
      <w:tr>
        <w:tc>
          <w:tcPr/>
          <w:p>
            <w:pPr>
              <w:pStyle w:val="Compact"/>
              <w:jc w:val="left"/>
            </w:pPr>
            <w:r>
              <w:t xml:space="preserve">Нижний концентрационный предел распространения пламени</w:t>
            </w:r>
          </w:p>
        </w:tc>
        <w:tc>
          <w:tcPr/>
          <w:p>
            <w:pPr>
              <w:pStyle w:val="Compact"/>
              <w:jc w:val="left"/>
            </w:pPr>
            <w:r>
              <w:t xml:space="preserve">2,7 % об.</w:t>
            </w:r>
          </w:p>
        </w:tc>
      </w:tr>
      <w:tr>
        <w:tc>
          <w:tcPr/>
          <w:p>
            <w:pPr>
              <w:pStyle w:val="Compact"/>
              <w:jc w:val="left"/>
            </w:pPr>
            <w:r>
              <w:t xml:space="preserve">Температура вспышки</w:t>
            </w:r>
          </w:p>
        </w:tc>
        <w:tc>
          <w:tcPr/>
          <w:p>
            <w:pPr>
              <w:pStyle w:val="Compact"/>
              <w:jc w:val="left"/>
            </w:pPr>
            <w:r>
              <w:t xml:space="preserve">-18 °C</w:t>
            </w:r>
          </w:p>
        </w:tc>
      </w:tr>
      <w:tr>
        <w:tc>
          <w:tcPr/>
          <w:p>
            <w:pPr>
              <w:pStyle w:val="Compact"/>
              <w:jc w:val="left"/>
            </w:pPr>
            <w:r>
              <w:t xml:space="preserve">Температура кипения</w:t>
            </w:r>
          </w:p>
        </w:tc>
        <w:tc>
          <w:tcPr/>
          <w:p>
            <w:pPr>
              <w:pStyle w:val="Compact"/>
              <w:jc w:val="left"/>
            </w:pPr>
            <w:r>
              <w:t xml:space="preserve">56,5 °C</w:t>
            </w:r>
          </w:p>
        </w:tc>
      </w:tr>
      <w:tr>
        <w:tc>
          <w:tcPr/>
          <w:p>
            <w:pPr>
              <w:pStyle w:val="Compact"/>
              <w:jc w:val="left"/>
            </w:pPr>
            <w:r>
              <w:t xml:space="preserve">Плотность жидкости</w:t>
            </w:r>
          </w:p>
        </w:tc>
        <w:tc>
          <w:tcPr/>
          <w:p>
            <w:pPr>
              <w:pStyle w:val="Compact"/>
              <w:jc w:val="left"/>
            </w:pPr>
            <w:r>
              <w:t xml:space="preserve">791 кг/м³</w:t>
            </w:r>
          </w:p>
        </w:tc>
      </w:tr>
      <w:tr>
        <w:tc>
          <w:tcPr/>
          <w:p>
            <w:pPr>
              <w:pStyle w:val="Compact"/>
              <w:jc w:val="left"/>
            </w:pPr>
            <w:r>
              <w:t xml:space="preserve">Удельная площадь разлива в помещении</w:t>
            </w:r>
          </w:p>
        </w:tc>
        <w:tc>
          <w:tcPr/>
          <w:p>
            <w:pPr>
              <w:pStyle w:val="Compact"/>
              <w:jc w:val="left"/>
            </w:pPr>
            <w:r>
              <w:t xml:space="preserve">1 м²/л</w:t>
            </w:r>
          </w:p>
        </w:tc>
      </w:tr>
      <w:tr>
        <w:tc>
          <w:tcPr/>
          <w:p>
            <w:pPr>
              <w:pStyle w:val="Compact"/>
              <w:jc w:val="left"/>
            </w:pPr>
            <w:r>
              <w:t xml:space="preserve">Удельная площадь разлива для наружной установки</w:t>
            </w:r>
          </w:p>
        </w:tc>
        <w:tc>
          <w:tcPr/>
          <w:p>
            <w:pPr>
              <w:pStyle w:val="Compact"/>
              <w:jc w:val="left"/>
            </w:pPr>
            <w:r>
              <w:t xml:space="preserve">0,15 м²/л</w:t>
            </w:r>
          </w:p>
        </w:tc>
      </w:tr>
      <w:tr>
        <w:tc>
          <w:tcPr/>
          <w:p>
            <w:pPr>
              <w:pStyle w:val="Compact"/>
              <w:jc w:val="left"/>
            </w:pPr>
            <w:r>
              <w:t xml:space="preserve">Константа Антуана А</w:t>
            </w:r>
          </w:p>
        </w:tc>
        <w:tc>
          <w:tcPr/>
          <w:p>
            <w:pPr>
              <w:pStyle w:val="Compact"/>
              <w:jc w:val="left"/>
            </w:pPr>
            <w:r>
              <w:t xml:space="preserve">6,37551</w:t>
            </w:r>
          </w:p>
        </w:tc>
      </w:tr>
      <w:tr>
        <w:tc>
          <w:tcPr/>
          <w:p>
            <w:pPr>
              <w:pStyle w:val="Compact"/>
              <w:jc w:val="left"/>
            </w:pPr>
            <w:r>
              <w:t xml:space="preserve">Константа Антуана В</w:t>
            </w:r>
          </w:p>
        </w:tc>
        <w:tc>
          <w:tcPr/>
          <w:p>
            <w:pPr>
              <w:pStyle w:val="Compact"/>
              <w:jc w:val="left"/>
            </w:pPr>
            <w:r>
              <w:t xml:space="preserve">1281,721</w:t>
            </w:r>
          </w:p>
        </w:tc>
      </w:tr>
      <w:tr>
        <w:tc>
          <w:tcPr/>
          <w:p>
            <w:pPr>
              <w:pStyle w:val="Compact"/>
              <w:jc w:val="left"/>
            </w:pPr>
            <w:r>
              <w:t xml:space="preserve">Константа Антуана Са</w:t>
            </w:r>
          </w:p>
        </w:tc>
        <w:tc>
          <w:tcPr/>
          <w:p>
            <w:pPr>
              <w:pStyle w:val="Compact"/>
              <w:jc w:val="left"/>
            </w:pPr>
            <w:r>
              <w:t xml:space="preserve">237,088</w:t>
            </w:r>
          </w:p>
        </w:tc>
      </w:tr>
      <w:tr>
        <w:tc>
          <w:tcPr/>
          <w:p>
            <w:pPr>
              <w:pStyle w:val="Compact"/>
              <w:jc w:val="left"/>
            </w:pPr>
            <w:r>
              <w:t xml:space="preserve">Максимальное давление взрыва</w:t>
            </w:r>
          </w:p>
        </w:tc>
        <w:tc>
          <w:tcPr/>
          <w:p>
            <w:pPr>
              <w:pStyle w:val="Compact"/>
              <w:jc w:val="left"/>
            </w:pPr>
            <w:r>
              <w:t xml:space="preserve">570 кПа</w:t>
            </w:r>
          </w:p>
        </w:tc>
      </w:tr>
      <w:tr>
        <w:tc>
          <w:tcPr/>
          <w:p>
            <w:pPr>
              <w:pStyle w:val="Compact"/>
              <w:jc w:val="left"/>
            </w:pPr>
            <w:r>
              <w:t xml:space="preserve">Стехиометрический коэффициент кислорода в реакции сгорания</w:t>
            </w:r>
          </w:p>
        </w:tc>
        <w:tc>
          <w:tcPr/>
          <w:p>
            <w:pPr>
              <w:pStyle w:val="Compact"/>
              <w:jc w:val="left"/>
            </w:pPr>
            <w:r>
              <w:t xml:space="preserve">4</w:t>
            </w:r>
          </w:p>
        </w:tc>
      </w:tr>
    </w:tbl>
    <w:bookmarkEnd w:id="23"/>
    <w:bookmarkStart w:id="24" w:name="бензин-аи-93-летний-гост-2084-67"/>
    <w:p>
      <w:pPr>
        <w:pStyle w:val="4"/>
      </w:pPr>
      <w:r>
        <w:t xml:space="preserve">Бензин АИ-93 (летний) (ГОСТ 2084-67)</w:t>
      </w:r>
    </w:p>
    <w:tbl>
      <w:tblPr>
        <w:tblStyle w:val="Table"/>
        <w:tblW w:type="pct" w:w="5000"/>
        <w:tblLook w:firstRow="1" w:lastRow="0" w:firstColumn="0" w:lastColumn="0" w:noHBand="0" w:noVBand="0" w:val="0020"/>
      </w:tblPr>
      <w:tblGrid>
        <w:gridCol w:w="5544"/>
        <w:gridCol w:w="2376"/>
      </w:tblGrid>
      <w:tr>
        <w:trPr>
          <w:tblHeader w:val="true"/>
        </w:trPr>
        <w:tc>
          <w:tcPr/>
          <w:p>
            <w:pPr>
              <w:pStyle w:val="Compact"/>
              <w:jc w:val="left"/>
            </w:pPr>
            <w:r>
              <w:t xml:space="preserve">Наименование</w:t>
            </w:r>
          </w:p>
        </w:tc>
        <w:tc>
          <w:tcPr/>
          <w:p>
            <w:pPr>
              <w:pStyle w:val="Compact"/>
              <w:jc w:val="left"/>
            </w:pPr>
            <w:r>
              <w:t xml:space="preserve">Бензин АИ-93 (летний) (ГОСТ 2084-67)</w:t>
            </w:r>
          </w:p>
        </w:tc>
      </w:tr>
      <w:tr>
        <w:tc>
          <w:tcPr/>
          <w:p>
            <w:pPr>
              <w:pStyle w:val="Compact"/>
              <w:jc w:val="left"/>
            </w:pPr>
            <w:r>
              <w:t xml:space="preserve">Описание</w:t>
            </w:r>
          </w:p>
        </w:tc>
        <w:tc>
          <w:tcPr/>
          <w:p>
            <w:pPr>
              <w:pStyle w:val="Compact"/>
              <w:jc w:val="left"/>
            </w:pPr>
            <w:r>
              <w:t xml:space="preserve">С7,024Н13,708</w:t>
            </w:r>
          </w:p>
        </w:tc>
      </w:tr>
      <w:tr>
        <w:tc>
          <w:tcPr/>
          <w:p>
            <w:pPr>
              <w:pStyle w:val="Compact"/>
              <w:jc w:val="left"/>
            </w:pPr>
            <w:r>
              <w:t xml:space="preserve">Теплота сгорания</w:t>
            </w:r>
          </w:p>
        </w:tc>
        <w:tc>
          <w:tcPr/>
          <w:p>
            <w:pPr>
              <w:pStyle w:val="Compact"/>
              <w:jc w:val="left"/>
            </w:pPr>
            <w:r>
              <w:t xml:space="preserve">43,64 МДж/кг</w:t>
            </w:r>
          </w:p>
        </w:tc>
      </w:tr>
      <w:tr>
        <w:tc>
          <w:tcPr/>
          <w:p>
            <w:pPr>
              <w:pStyle w:val="Compact"/>
              <w:jc w:val="left"/>
            </w:pPr>
            <w:r>
              <w:t xml:space="preserve">Массовая скорость выгорания</w:t>
            </w:r>
          </w:p>
        </w:tc>
        <w:tc>
          <w:tcPr/>
          <w:p>
            <w:pPr>
              <w:pStyle w:val="Compact"/>
              <w:jc w:val="left"/>
            </w:pPr>
            <w:r>
              <w:t xml:space="preserve">0,059 кг/(с·м²)</w:t>
            </w:r>
          </w:p>
        </w:tc>
      </w:tr>
      <w:tr>
        <w:tc>
          <w:tcPr/>
          <w:p>
            <w:pPr>
              <w:pStyle w:val="Compact"/>
              <w:jc w:val="left"/>
            </w:pPr>
            <w:r>
              <w:t xml:space="preserve">Молярная масса</w:t>
            </w:r>
          </w:p>
        </w:tc>
        <w:tc>
          <w:tcPr/>
          <w:p>
            <w:pPr>
              <w:pStyle w:val="Compact"/>
              <w:jc w:val="left"/>
            </w:pPr>
            <w:r>
              <w:t xml:space="preserve">98,2 кг/кмоль</w:t>
            </w:r>
          </w:p>
        </w:tc>
      </w:tr>
      <w:tr>
        <w:tc>
          <w:tcPr/>
          <w:p>
            <w:pPr>
              <w:pStyle w:val="Compact"/>
              <w:jc w:val="left"/>
            </w:pPr>
            <w:r>
              <w:t xml:space="preserve">Нижний концентрационный предел распространения пламени</w:t>
            </w:r>
          </w:p>
        </w:tc>
        <w:tc>
          <w:tcPr/>
          <w:p>
            <w:pPr>
              <w:pStyle w:val="Compact"/>
              <w:jc w:val="left"/>
            </w:pPr>
            <w:r>
              <w:t xml:space="preserve">1,06 % об.</w:t>
            </w:r>
          </w:p>
        </w:tc>
      </w:tr>
      <w:tr>
        <w:tc>
          <w:tcPr/>
          <w:p>
            <w:pPr>
              <w:pStyle w:val="Compact"/>
              <w:jc w:val="left"/>
            </w:pPr>
            <w:r>
              <w:t xml:space="preserve">Температура вспышки</w:t>
            </w:r>
          </w:p>
        </w:tc>
        <w:tc>
          <w:tcPr/>
          <w:p>
            <w:pPr>
              <w:pStyle w:val="Compact"/>
              <w:jc w:val="left"/>
            </w:pPr>
            <w:r>
              <w:t xml:space="preserve">-36 °C</w:t>
            </w:r>
          </w:p>
        </w:tc>
      </w:tr>
      <w:tr>
        <w:tc>
          <w:tcPr/>
          <w:p>
            <w:pPr>
              <w:pStyle w:val="Compact"/>
              <w:jc w:val="left"/>
            </w:pPr>
            <w:r>
              <w:t xml:space="preserve">Плотность жидкости</w:t>
            </w:r>
          </w:p>
        </w:tc>
        <w:tc>
          <w:tcPr/>
          <w:p>
            <w:pPr>
              <w:pStyle w:val="Compact"/>
              <w:jc w:val="left"/>
            </w:pPr>
            <w:r>
              <w:t xml:space="preserve">745 кг/м³</w:t>
            </w:r>
          </w:p>
        </w:tc>
      </w:tr>
      <w:tr>
        <w:tc>
          <w:tcPr/>
          <w:p>
            <w:pPr>
              <w:pStyle w:val="Compact"/>
              <w:jc w:val="left"/>
            </w:pPr>
            <w:r>
              <w:t xml:space="preserve">Удельная площадь разлива в помещении</w:t>
            </w:r>
          </w:p>
        </w:tc>
        <w:tc>
          <w:tcPr/>
          <w:p>
            <w:pPr>
              <w:pStyle w:val="Compact"/>
              <w:jc w:val="left"/>
            </w:pPr>
            <w:r>
              <w:t xml:space="preserve">1 м²/л</w:t>
            </w:r>
          </w:p>
        </w:tc>
      </w:tr>
      <w:tr>
        <w:tc>
          <w:tcPr/>
          <w:p>
            <w:pPr>
              <w:pStyle w:val="Compact"/>
              <w:jc w:val="left"/>
            </w:pPr>
            <w:r>
              <w:t xml:space="preserve">Удельная площадь разлива для наружной установки</w:t>
            </w:r>
          </w:p>
        </w:tc>
        <w:tc>
          <w:tcPr/>
          <w:p>
            <w:pPr>
              <w:pStyle w:val="Compact"/>
              <w:jc w:val="left"/>
            </w:pPr>
            <w:r>
              <w:t xml:space="preserve">0,15 м²/л</w:t>
            </w:r>
          </w:p>
        </w:tc>
      </w:tr>
      <w:tr>
        <w:tc>
          <w:tcPr/>
          <w:p>
            <w:pPr>
              <w:pStyle w:val="Compact"/>
              <w:jc w:val="left"/>
            </w:pPr>
            <w:r>
              <w:t xml:space="preserve">Константа Антуана А</w:t>
            </w:r>
          </w:p>
        </w:tc>
        <w:tc>
          <w:tcPr/>
          <w:p>
            <w:pPr>
              <w:pStyle w:val="Compact"/>
              <w:jc w:val="left"/>
            </w:pPr>
            <w:r>
              <w:t xml:space="preserve">4,12311</w:t>
            </w:r>
          </w:p>
        </w:tc>
      </w:tr>
      <w:tr>
        <w:tc>
          <w:tcPr/>
          <w:p>
            <w:pPr>
              <w:pStyle w:val="Compact"/>
              <w:jc w:val="left"/>
            </w:pPr>
            <w:r>
              <w:t xml:space="preserve">Константа Антуана В</w:t>
            </w:r>
          </w:p>
        </w:tc>
        <w:tc>
          <w:tcPr/>
          <w:p>
            <w:pPr>
              <w:pStyle w:val="Compact"/>
              <w:jc w:val="left"/>
            </w:pPr>
            <w:r>
              <w:t xml:space="preserve">664,976</w:t>
            </w:r>
          </w:p>
        </w:tc>
      </w:tr>
      <w:tr>
        <w:tc>
          <w:tcPr/>
          <w:p>
            <w:pPr>
              <w:pStyle w:val="Compact"/>
              <w:jc w:val="left"/>
            </w:pPr>
            <w:r>
              <w:t xml:space="preserve">Константа Антуана Са</w:t>
            </w:r>
          </w:p>
        </w:tc>
        <w:tc>
          <w:tcPr/>
          <w:p>
            <w:pPr>
              <w:pStyle w:val="Compact"/>
              <w:jc w:val="left"/>
            </w:pPr>
            <w:r>
              <w:t xml:space="preserve">221,695</w:t>
            </w:r>
          </w:p>
        </w:tc>
      </w:tr>
    </w:tbl>
    <w:bookmarkEnd w:id="24"/>
    <w:bookmarkStart w:id="25" w:name="ксилол-смесь-изомеров-гост-9410-60"/>
    <w:p>
      <w:pPr>
        <w:pStyle w:val="4"/>
      </w:pPr>
      <w:r>
        <w:t xml:space="preserve">Ксилол (смесь изомеров) (ГОСТ 9410-60)</w:t>
      </w:r>
    </w:p>
    <w:tbl>
      <w:tblPr>
        <w:tblStyle w:val="Table"/>
        <w:tblW w:type="pct" w:w="5000"/>
        <w:tblLook w:firstRow="1" w:lastRow="0" w:firstColumn="0" w:lastColumn="0" w:noHBand="0" w:noVBand="0" w:val="0020"/>
      </w:tblPr>
      <w:tblGrid>
        <w:gridCol w:w="5544"/>
        <w:gridCol w:w="2376"/>
      </w:tblGrid>
      <w:tr>
        <w:trPr>
          <w:tblHeader w:val="true"/>
        </w:trPr>
        <w:tc>
          <w:tcPr/>
          <w:p>
            <w:pPr>
              <w:pStyle w:val="Compact"/>
              <w:jc w:val="left"/>
            </w:pPr>
            <w:r>
              <w:t xml:space="preserve">Наименование</w:t>
            </w:r>
          </w:p>
        </w:tc>
        <w:tc>
          <w:tcPr/>
          <w:p>
            <w:pPr>
              <w:pStyle w:val="Compact"/>
              <w:jc w:val="left"/>
            </w:pPr>
            <w:r>
              <w:t xml:space="preserve">Ксилол (смесь изомеров) (ГОСТ 9410-60)</w:t>
            </w:r>
          </w:p>
        </w:tc>
      </w:tr>
      <w:tr>
        <w:tc>
          <w:tcPr/>
          <w:p>
            <w:pPr>
              <w:pStyle w:val="Compact"/>
              <w:jc w:val="left"/>
            </w:pPr>
            <w:r>
              <w:t xml:space="preserve">Описание</w:t>
            </w:r>
          </w:p>
        </w:tc>
        <w:tc>
          <w:tcPr/>
          <w:p>
            <w:pPr>
              <w:pStyle w:val="Compact"/>
              <w:jc w:val="left"/>
            </w:pPr>
            <w:r>
              <w:t xml:space="preserve">С8Н10</w:t>
            </w:r>
          </w:p>
        </w:tc>
      </w:tr>
      <w:tr>
        <w:tc>
          <w:tcPr/>
          <w:p>
            <w:pPr>
              <w:pStyle w:val="Compact"/>
              <w:jc w:val="left"/>
            </w:pPr>
            <w:r>
              <w:t xml:space="preserve">Теплота сгорания</w:t>
            </w:r>
          </w:p>
        </w:tc>
        <w:tc>
          <w:tcPr/>
          <w:p>
            <w:pPr>
              <w:pStyle w:val="Compact"/>
              <w:jc w:val="left"/>
            </w:pPr>
            <w:r>
              <w:t xml:space="preserve">43,15 МДж/кг</w:t>
            </w:r>
          </w:p>
        </w:tc>
      </w:tr>
      <w:tr>
        <w:tc>
          <w:tcPr/>
          <w:p>
            <w:pPr>
              <w:pStyle w:val="Compact"/>
              <w:jc w:val="left"/>
            </w:pPr>
            <w:r>
              <w:t xml:space="preserve">Массовая скорость выгорания</w:t>
            </w:r>
          </w:p>
        </w:tc>
        <w:tc>
          <w:tcPr/>
          <w:p>
            <w:pPr>
              <w:pStyle w:val="Compact"/>
              <w:jc w:val="left"/>
            </w:pPr>
            <w:r>
              <w:t xml:space="preserve">0,009 кг/(с·м²)</w:t>
            </w:r>
          </w:p>
        </w:tc>
      </w:tr>
      <w:tr>
        <w:tc>
          <w:tcPr/>
          <w:p>
            <w:pPr>
              <w:pStyle w:val="Compact"/>
              <w:jc w:val="left"/>
            </w:pPr>
            <w:r>
              <w:t xml:space="preserve">Молярная масса</w:t>
            </w:r>
          </w:p>
        </w:tc>
        <w:tc>
          <w:tcPr/>
          <w:p>
            <w:pPr>
              <w:pStyle w:val="Compact"/>
              <w:jc w:val="left"/>
            </w:pPr>
            <w:r>
              <w:t xml:space="preserve">106,2 кг/кмоль</w:t>
            </w:r>
          </w:p>
        </w:tc>
      </w:tr>
      <w:tr>
        <w:tc>
          <w:tcPr/>
          <w:p>
            <w:pPr>
              <w:pStyle w:val="Compact"/>
              <w:jc w:val="left"/>
            </w:pPr>
            <w:r>
              <w:t xml:space="preserve">Нижний концентрационный предел распространения пламени</w:t>
            </w:r>
          </w:p>
        </w:tc>
        <w:tc>
          <w:tcPr/>
          <w:p>
            <w:pPr>
              <w:pStyle w:val="Compact"/>
              <w:jc w:val="left"/>
            </w:pPr>
            <w:r>
              <w:t xml:space="preserve">1,1 % об.</w:t>
            </w:r>
          </w:p>
        </w:tc>
      </w:tr>
      <w:tr>
        <w:tc>
          <w:tcPr/>
          <w:p>
            <w:pPr>
              <w:pStyle w:val="Compact"/>
              <w:jc w:val="left"/>
            </w:pPr>
            <w:r>
              <w:t xml:space="preserve">Температура вспышки</w:t>
            </w:r>
          </w:p>
        </w:tc>
        <w:tc>
          <w:tcPr/>
          <w:p>
            <w:pPr>
              <w:pStyle w:val="Compact"/>
              <w:jc w:val="left"/>
            </w:pPr>
            <w:r>
              <w:t xml:space="preserve">29 °C</w:t>
            </w:r>
          </w:p>
        </w:tc>
      </w:tr>
      <w:tr>
        <w:tc>
          <w:tcPr/>
          <w:p>
            <w:pPr>
              <w:pStyle w:val="Compact"/>
              <w:jc w:val="left"/>
            </w:pPr>
            <w:r>
              <w:t xml:space="preserve">Температура кипения</w:t>
            </w:r>
          </w:p>
        </w:tc>
        <w:tc>
          <w:tcPr/>
          <w:p>
            <w:pPr>
              <w:pStyle w:val="Compact"/>
              <w:jc w:val="left"/>
            </w:pPr>
            <w:r>
              <w:t xml:space="preserve">139,1 °C</w:t>
            </w:r>
          </w:p>
        </w:tc>
      </w:tr>
      <w:tr>
        <w:tc>
          <w:tcPr/>
          <w:p>
            <w:pPr>
              <w:pStyle w:val="Compact"/>
              <w:jc w:val="left"/>
            </w:pPr>
            <w:r>
              <w:t xml:space="preserve">Плотность жидкости</w:t>
            </w:r>
          </w:p>
        </w:tc>
        <w:tc>
          <w:tcPr/>
          <w:p>
            <w:pPr>
              <w:pStyle w:val="Compact"/>
              <w:jc w:val="left"/>
            </w:pPr>
            <w:r>
              <w:t xml:space="preserve">855 кг/м³</w:t>
            </w:r>
          </w:p>
        </w:tc>
      </w:tr>
      <w:tr>
        <w:tc>
          <w:tcPr/>
          <w:p>
            <w:pPr>
              <w:pStyle w:val="Compact"/>
              <w:jc w:val="left"/>
            </w:pPr>
            <w:r>
              <w:t xml:space="preserve">Удельная площадь разлива в помещении</w:t>
            </w:r>
          </w:p>
        </w:tc>
        <w:tc>
          <w:tcPr/>
          <w:p>
            <w:pPr>
              <w:pStyle w:val="Compact"/>
              <w:jc w:val="left"/>
            </w:pPr>
            <w:r>
              <w:t xml:space="preserve">1 м²/л</w:t>
            </w:r>
          </w:p>
        </w:tc>
      </w:tr>
      <w:tr>
        <w:tc>
          <w:tcPr/>
          <w:p>
            <w:pPr>
              <w:pStyle w:val="Compact"/>
              <w:jc w:val="left"/>
            </w:pPr>
            <w:r>
              <w:t xml:space="preserve">Удельная площадь разлива для наружной установки</w:t>
            </w:r>
          </w:p>
        </w:tc>
        <w:tc>
          <w:tcPr/>
          <w:p>
            <w:pPr>
              <w:pStyle w:val="Compact"/>
              <w:jc w:val="left"/>
            </w:pPr>
            <w:r>
              <w:t xml:space="preserve">0,15 м²/л</w:t>
            </w:r>
          </w:p>
        </w:tc>
      </w:tr>
      <w:tr>
        <w:tc>
          <w:tcPr/>
          <w:p>
            <w:pPr>
              <w:pStyle w:val="Compact"/>
              <w:jc w:val="left"/>
            </w:pPr>
            <w:r>
              <w:t xml:space="preserve">Константа Антуана А</w:t>
            </w:r>
          </w:p>
        </w:tc>
        <w:tc>
          <w:tcPr/>
          <w:p>
            <w:pPr>
              <w:pStyle w:val="Compact"/>
              <w:jc w:val="left"/>
            </w:pPr>
            <w:r>
              <w:t xml:space="preserve">6,17972</w:t>
            </w:r>
          </w:p>
        </w:tc>
      </w:tr>
      <w:tr>
        <w:tc>
          <w:tcPr/>
          <w:p>
            <w:pPr>
              <w:pStyle w:val="Compact"/>
              <w:jc w:val="left"/>
            </w:pPr>
            <w:r>
              <w:t xml:space="preserve">Константа Антуана В</w:t>
            </w:r>
          </w:p>
        </w:tc>
        <w:tc>
          <w:tcPr/>
          <w:p>
            <w:pPr>
              <w:pStyle w:val="Compact"/>
              <w:jc w:val="left"/>
            </w:pPr>
            <w:r>
              <w:t xml:space="preserve">1478,16</w:t>
            </w:r>
          </w:p>
        </w:tc>
      </w:tr>
      <w:tr>
        <w:tc>
          <w:tcPr/>
          <w:p>
            <w:pPr>
              <w:pStyle w:val="Compact"/>
              <w:jc w:val="left"/>
            </w:pPr>
            <w:r>
              <w:t xml:space="preserve">Константа Антуана Са</w:t>
            </w:r>
          </w:p>
        </w:tc>
        <w:tc>
          <w:tcPr/>
          <w:p>
            <w:pPr>
              <w:pStyle w:val="Compact"/>
              <w:jc w:val="left"/>
            </w:pPr>
            <w:r>
              <w:t xml:space="preserve">220,535</w:t>
            </w:r>
          </w:p>
        </w:tc>
      </w:tr>
    </w:tbl>
    <w:bookmarkEnd w:id="25"/>
    <w:bookmarkEnd w:id="26"/>
    <w:bookmarkStart w:id="31" w:name="твёрдые-горючие-материалы"/>
    <w:p>
      <w:pPr>
        <w:pStyle w:val="2"/>
      </w:pPr>
      <w:r>
        <w:t xml:space="preserve">Твёрдые горючие материалы</w:t>
      </w:r>
    </w:p>
    <w:bookmarkStart w:id="27" w:name="X391fab7bec68d04d126e050bc32d990d758a1c1"/>
    <w:p>
      <w:pPr>
        <w:pStyle w:val="4"/>
      </w:pPr>
      <w:r>
        <w:t xml:space="preserve">Автомобиль, 0,3*(резина, бензин)+0,15*(ППУ, искожа ПВХ) +0,1*эмаль</w:t>
      </w:r>
    </w:p>
    <w:tbl>
      <w:tblPr>
        <w:tblStyle w:val="Table"/>
        <w:tblW w:type="pct" w:w="5000"/>
        <w:tblLook w:firstRow="1" w:lastRow="0" w:firstColumn="0" w:lastColumn="0" w:noHBand="0" w:noVBand="0" w:val="0020"/>
      </w:tblPr>
      <w:tblGrid>
        <w:gridCol w:w="5544"/>
        <w:gridCol w:w="2376"/>
      </w:tblGrid>
      <w:tr>
        <w:trPr>
          <w:tblHeader w:val="true"/>
        </w:trPr>
        <w:tc>
          <w:tcPr/>
          <w:p>
            <w:pPr>
              <w:pStyle w:val="Compact"/>
              <w:jc w:val="left"/>
            </w:pPr>
            <w:r>
              <w:t xml:space="preserve">Наименование</w:t>
            </w:r>
          </w:p>
        </w:tc>
        <w:tc>
          <w:tcPr/>
          <w:p>
            <w:pPr>
              <w:pStyle w:val="Compact"/>
              <w:jc w:val="left"/>
            </w:pPr>
            <w:r>
              <w:t xml:space="preserve">Автомобиль, 0,3*(резина, бензин)+0,15*(ППУ, искожа ПВХ) +0,1*эмаль</w:t>
            </w:r>
          </w:p>
        </w:tc>
      </w:tr>
      <w:tr>
        <w:tc>
          <w:tcPr/>
          <w:p>
            <w:pPr>
              <w:pStyle w:val="Compact"/>
              <w:jc w:val="left"/>
            </w:pPr>
            <w:r>
              <w:t xml:space="preserve">Теплота сгорания</w:t>
            </w:r>
          </w:p>
        </w:tc>
        <w:tc>
          <w:tcPr/>
          <w:p>
            <w:pPr>
              <w:pStyle w:val="Compact"/>
              <w:jc w:val="left"/>
            </w:pPr>
            <w:r>
              <w:t xml:space="preserve">31,7 МДж/кг</w:t>
            </w:r>
          </w:p>
        </w:tc>
      </w:tr>
      <w:tr>
        <w:tc>
          <w:tcPr/>
          <w:p>
            <w:pPr>
              <w:pStyle w:val="Compact"/>
              <w:jc w:val="left"/>
            </w:pPr>
            <w:r>
              <w:t xml:space="preserve">Массовая скорость выгорания</w:t>
            </w:r>
          </w:p>
        </w:tc>
        <w:tc>
          <w:tcPr/>
          <w:p>
            <w:pPr>
              <w:pStyle w:val="Compact"/>
              <w:jc w:val="left"/>
            </w:pPr>
            <w:r>
              <w:t xml:space="preserve">0,023 кг/(с·м²)</w:t>
            </w:r>
          </w:p>
        </w:tc>
      </w:tr>
    </w:tbl>
    <w:bookmarkEnd w:id="27"/>
    <w:bookmarkStart w:id="28" w:name="бумага"/>
    <w:p>
      <w:pPr>
        <w:pStyle w:val="4"/>
      </w:pPr>
      <w:r>
        <w:t xml:space="preserve">Бумага</w:t>
      </w:r>
    </w:p>
    <w:tbl>
      <w:tblPr>
        <w:tblStyle w:val="Table"/>
        <w:tblW w:type="pct" w:w="5000"/>
        <w:tblLook w:firstRow="1" w:lastRow="0" w:firstColumn="0" w:lastColumn="0" w:noHBand="0" w:noVBand="0" w:val="0020"/>
      </w:tblPr>
      <w:tblGrid>
        <w:gridCol w:w="5544"/>
        <w:gridCol w:w="2376"/>
      </w:tblGrid>
      <w:tr>
        <w:trPr>
          <w:tblHeader w:val="true"/>
        </w:trPr>
        <w:tc>
          <w:tcPr/>
          <w:p>
            <w:pPr>
              <w:pStyle w:val="Compact"/>
              <w:jc w:val="left"/>
            </w:pPr>
            <w:r>
              <w:t xml:space="preserve">Наименование</w:t>
            </w:r>
          </w:p>
        </w:tc>
        <w:tc>
          <w:tcPr/>
          <w:p>
            <w:pPr>
              <w:pStyle w:val="Compact"/>
              <w:jc w:val="left"/>
            </w:pPr>
            <w:r>
              <w:t xml:space="preserve">Бумага</w:t>
            </w:r>
          </w:p>
        </w:tc>
      </w:tr>
      <w:tr>
        <w:tc>
          <w:tcPr/>
          <w:p>
            <w:pPr>
              <w:pStyle w:val="Compact"/>
              <w:jc w:val="left"/>
            </w:pPr>
            <w:r>
              <w:t xml:space="preserve">Теплота сгорания</w:t>
            </w:r>
          </w:p>
        </w:tc>
        <w:tc>
          <w:tcPr/>
          <w:p>
            <w:pPr>
              <w:pStyle w:val="Compact"/>
              <w:jc w:val="left"/>
            </w:pPr>
            <w:r>
              <w:t xml:space="preserve">13,4 МДж/кг</w:t>
            </w:r>
          </w:p>
        </w:tc>
      </w:tr>
      <w:tr>
        <w:tc>
          <w:tcPr/>
          <w:p>
            <w:pPr>
              <w:pStyle w:val="Compact"/>
              <w:jc w:val="left"/>
            </w:pPr>
            <w:r>
              <w:t xml:space="preserve">Массовая скорость выгорания</w:t>
            </w:r>
          </w:p>
        </w:tc>
        <w:tc>
          <w:tcPr/>
          <w:p>
            <w:pPr>
              <w:pStyle w:val="Compact"/>
              <w:jc w:val="left"/>
            </w:pPr>
            <w:r>
              <w:t xml:space="preserve">0,006 кг/(с·м²)</w:t>
            </w:r>
          </w:p>
        </w:tc>
      </w:tr>
    </w:tbl>
    <w:bookmarkEnd w:id="28"/>
    <w:bookmarkStart w:id="29" w:name="верхняя-одежда-ворс.-ткани-шерстьнейлон"/>
    <w:p>
      <w:pPr>
        <w:pStyle w:val="4"/>
      </w:pPr>
      <w:r>
        <w:t xml:space="preserve">Верхняя одежда, ворс. ткани (шерсть+нейлон)</w:t>
      </w:r>
    </w:p>
    <w:tbl>
      <w:tblPr>
        <w:tblStyle w:val="Table"/>
        <w:tblW w:type="pct" w:w="5000"/>
        <w:tblLook w:firstRow="1" w:lastRow="0" w:firstColumn="0" w:lastColumn="0" w:noHBand="0" w:noVBand="0" w:val="0020"/>
      </w:tblPr>
      <w:tblGrid>
        <w:gridCol w:w="5544"/>
        <w:gridCol w:w="2376"/>
      </w:tblGrid>
      <w:tr>
        <w:trPr>
          <w:tblHeader w:val="true"/>
        </w:trPr>
        <w:tc>
          <w:tcPr/>
          <w:p>
            <w:pPr>
              <w:pStyle w:val="Compact"/>
              <w:jc w:val="left"/>
            </w:pPr>
            <w:r>
              <w:t xml:space="preserve">Наименование</w:t>
            </w:r>
          </w:p>
        </w:tc>
        <w:tc>
          <w:tcPr/>
          <w:p>
            <w:pPr>
              <w:pStyle w:val="Compact"/>
              <w:jc w:val="left"/>
            </w:pPr>
            <w:r>
              <w:t xml:space="preserve">Верхняя одежда, ворс. ткани (шерсть+нейлон)</w:t>
            </w:r>
          </w:p>
        </w:tc>
      </w:tr>
      <w:tr>
        <w:tc>
          <w:tcPr/>
          <w:p>
            <w:pPr>
              <w:pStyle w:val="Compact"/>
              <w:jc w:val="left"/>
            </w:pPr>
            <w:r>
              <w:t xml:space="preserve">Теплота сгорания</w:t>
            </w:r>
          </w:p>
        </w:tc>
        <w:tc>
          <w:tcPr/>
          <w:p>
            <w:pPr>
              <w:pStyle w:val="Compact"/>
              <w:jc w:val="left"/>
            </w:pPr>
            <w:r>
              <w:t xml:space="preserve">23,3 МДж/кг</w:t>
            </w:r>
          </w:p>
        </w:tc>
      </w:tr>
      <w:tr>
        <w:tc>
          <w:tcPr/>
          <w:p>
            <w:pPr>
              <w:pStyle w:val="Compact"/>
              <w:jc w:val="left"/>
            </w:pPr>
            <w:r>
              <w:t xml:space="preserve">Массовая скорость выгорания</w:t>
            </w:r>
          </w:p>
        </w:tc>
        <w:tc>
          <w:tcPr/>
          <w:p>
            <w:pPr>
              <w:pStyle w:val="Compact"/>
              <w:jc w:val="left"/>
            </w:pPr>
            <w:r>
              <w:t xml:space="preserve">0,013 кг/(с·м²)</w:t>
            </w:r>
          </w:p>
        </w:tc>
      </w:tr>
    </w:tbl>
    <w:bookmarkEnd w:id="29"/>
    <w:bookmarkStart w:id="30" w:name="дереволак.покрытие-095древесина005флрхо"/>
    <w:p>
      <w:pPr>
        <w:pStyle w:val="4"/>
      </w:pPr>
      <w:r>
        <w:t xml:space="preserve">Дерево+лак.покрытие, 0,95*древесина+0,05*(ФЛ+РХО)</w:t>
      </w:r>
    </w:p>
    <w:tbl>
      <w:tblPr>
        <w:tblStyle w:val="Table"/>
        <w:tblW w:type="pct" w:w="5000"/>
        <w:tblLook w:firstRow="1" w:lastRow="0" w:firstColumn="0" w:lastColumn="0" w:noHBand="0" w:noVBand="0" w:val="0020"/>
      </w:tblPr>
      <w:tblGrid>
        <w:gridCol w:w="5544"/>
        <w:gridCol w:w="2376"/>
      </w:tblGrid>
      <w:tr>
        <w:trPr>
          <w:tblHeader w:val="true"/>
        </w:trPr>
        <w:tc>
          <w:tcPr/>
          <w:p>
            <w:pPr>
              <w:pStyle w:val="Compact"/>
              <w:jc w:val="left"/>
            </w:pPr>
            <w:r>
              <w:t xml:space="preserve">Наименование</w:t>
            </w:r>
          </w:p>
        </w:tc>
        <w:tc>
          <w:tcPr/>
          <w:p>
            <w:pPr>
              <w:pStyle w:val="Compact"/>
              <w:jc w:val="left"/>
            </w:pPr>
            <w:r>
              <w:t xml:space="preserve">Дерево+лак.покрытие, 0,95*древесина+0,05*(ФЛ+РХО)</w:t>
            </w:r>
          </w:p>
        </w:tc>
      </w:tr>
      <w:tr>
        <w:tc>
          <w:tcPr/>
          <w:p>
            <w:pPr>
              <w:pStyle w:val="Compact"/>
              <w:jc w:val="left"/>
            </w:pPr>
            <w:r>
              <w:t xml:space="preserve">Теплота сгорания</w:t>
            </w:r>
          </w:p>
        </w:tc>
        <w:tc>
          <w:tcPr/>
          <w:p>
            <w:pPr>
              <w:pStyle w:val="Compact"/>
              <w:jc w:val="left"/>
            </w:pPr>
            <w:r>
              <w:t xml:space="preserve">13,9 МДж/кг</w:t>
            </w:r>
          </w:p>
        </w:tc>
      </w:tr>
      <w:tr>
        <w:tc>
          <w:tcPr/>
          <w:p>
            <w:pPr>
              <w:pStyle w:val="Compact"/>
              <w:jc w:val="left"/>
            </w:pPr>
            <w:r>
              <w:t xml:space="preserve">Массовая скорость выгорания</w:t>
            </w:r>
          </w:p>
        </w:tc>
        <w:tc>
          <w:tcPr/>
          <w:p>
            <w:pPr>
              <w:pStyle w:val="Compact"/>
              <w:jc w:val="left"/>
            </w:pPr>
            <w:r>
              <w:t xml:space="preserve">0,023 кг/(с·м²)</w:t>
            </w:r>
          </w:p>
        </w:tc>
      </w:tr>
      <w:tr>
        <w:tc>
          <w:tcPr/>
          <w:p>
            <w:pPr>
              <w:pStyle w:val="Compact"/>
              <w:jc w:val="left"/>
            </w:pPr>
            <w:r>
              <w:t xml:space="preserve">Критическая плотность теплового потока</w:t>
            </w:r>
          </w:p>
        </w:tc>
        <w:tc>
          <w:tcPr/>
          <w:p>
            <w:pPr>
              <w:pStyle w:val="Compact"/>
              <w:jc w:val="left"/>
            </w:pPr>
            <w:r>
              <w:t xml:space="preserve">13,9 кВт/м²</w:t>
            </w:r>
          </w:p>
        </w:tc>
      </w:tr>
    </w:tbl>
    <w:bookmarkEnd w:id="30"/>
    <w:bookmarkEnd w:id="31"/>
    <w:bookmarkEnd w:id="32"/>
    <w:bookmarkStart w:id="88" w:name="здание-здание"/>
    <w:p>
      <w:pPr>
        <w:pStyle w:val="1"/>
      </w:pPr>
      <w:r>
        <w:t xml:space="preserve">Здание «Здание»</w:t>
      </w:r>
    </w:p>
    <w:p>
      <w:pPr>
        <w:pStyle w:val="FirstParagraph"/>
      </w:pPr>
      <w:r>
        <w:t xml:space="preserve">Суммированная площадь всех помещений здания: 2017 м².</w:t>
      </w:r>
    </w:p>
    <w:bookmarkStart w:id="36" w:name="этаж-1.-помещение-венткамера"/>
    <w:p>
      <w:pPr>
        <w:pStyle w:val="2"/>
      </w:pPr>
      <w:r>
        <w:t xml:space="preserve">Этаж 1. Помещение «Венткамера»</w:t>
      </w:r>
    </w:p>
    <w:tbl>
      <w:tblPr>
        <w:tblStyle w:val="Table"/>
        <w:tblW w:type="pct" w:w="5000"/>
        <w:tblLook w:firstRow="1" w:lastRow="0" w:firstColumn="0" w:lastColumn="0" w:noHBand="0" w:noVBand="0" w:val="0020"/>
      </w:tblPr>
      <w:tblGrid>
        <w:gridCol w:w="5544"/>
        <w:gridCol w:w="2376"/>
      </w:tblGrid>
      <w:tr>
        <w:trPr>
          <w:tblHeader w:val="true"/>
        </w:trPr>
        <w:tc>
          <w:tcPr/>
          <w:p>
            <w:pPr>
              <w:pStyle w:val="Compact"/>
              <w:jc w:val="left"/>
            </w:pPr>
            <w:r>
              <w:t xml:space="preserve">Площадь</w:t>
            </w:r>
          </w:p>
        </w:tc>
        <w:tc>
          <w:tcPr/>
          <w:p>
            <w:pPr>
              <w:pStyle w:val="Compact"/>
              <w:jc w:val="left"/>
            </w:pPr>
            <w:r>
              <w:t xml:space="preserve">800 м²</w:t>
            </w:r>
          </w:p>
        </w:tc>
      </w:tr>
      <w:tr>
        <w:tc>
          <w:tcPr/>
          <w:p>
            <w:pPr>
              <w:pStyle w:val="Compact"/>
              <w:jc w:val="left"/>
            </w:pPr>
            <w:r>
              <w:t xml:space="preserve">Категория</w:t>
            </w:r>
          </w:p>
        </w:tc>
        <w:tc>
          <w:tcPr/>
          <w:p>
            <w:pPr>
              <w:pStyle w:val="Compact"/>
              <w:jc w:val="left"/>
            </w:pPr>
            <w:r>
              <w:t xml:space="preserve">А</w:t>
            </w:r>
          </w:p>
        </w:tc>
      </w:tr>
      <w:tr>
        <w:tc>
          <w:tcPr/>
          <w:p>
            <w:pPr>
              <w:pStyle w:val="Compact"/>
              <w:jc w:val="left"/>
            </w:pPr>
            <w:r>
              <w:t xml:space="preserve">Класс зоны по ПУЭ</w:t>
            </w:r>
          </w:p>
        </w:tc>
        <w:tc>
          <w:tcPr/>
          <w:p>
            <w:pPr>
              <w:pStyle w:val="Compact"/>
              <w:jc w:val="left"/>
            </w:pPr>
            <w:r>
              <w:t xml:space="preserve">В-Iа</w:t>
            </w:r>
          </w:p>
        </w:tc>
      </w:tr>
      <w:tr>
        <w:tc>
          <w:tcPr/>
          <w:p>
            <w:pPr>
              <w:pStyle w:val="Compact"/>
              <w:jc w:val="left"/>
            </w:pPr>
            <w:r>
              <w:t xml:space="preserve">Класс зоны по ФЗ №123</w:t>
            </w:r>
          </w:p>
        </w:tc>
        <w:tc>
          <w:tcPr/>
          <w:p>
            <w:pPr>
              <w:pStyle w:val="Compact"/>
              <w:jc w:val="left"/>
            </w:pPr>
            <w:r>
              <w:t xml:space="preserve">2</w:t>
            </w:r>
          </w:p>
        </w:tc>
      </w:tr>
    </w:tbl>
    <w:bookmarkStart w:id="33" w:name="определение-категории-помещения"/>
    <w:p>
      <w:pPr>
        <w:pStyle w:val="3"/>
      </w:pPr>
      <w:r>
        <w:t xml:space="preserve">Определение категории помещения</w:t>
      </w:r>
    </w:p>
    <w:p>
      <w:pPr>
        <w:pStyle w:val="FirstParagraph"/>
      </w:pPr>
      <w:r>
        <w:t xml:space="preserve">С учётом требований п.п. 6.6, 6.7 СП 7.13130.2013, категория помещения для вентиляционного оборудования вытяжных систем и местных отсосов принимается по категории обслуживаемых помещений.</w:t>
      </w:r>
    </w:p>
    <w:p>
      <w:pPr>
        <w:pStyle w:val="a0"/>
      </w:pPr>
      <w:r>
        <w:t xml:space="preserve">Помещения для оборудования вытяжных систем, обслуживающих несколько помещений различных категорий по взрывопожарной и пожарной опасности, следует относить к более опасной категории.</w:t>
      </w:r>
    </w:p>
    <w:p>
      <w:pPr>
        <w:pStyle w:val="a0"/>
      </w:pPr>
      <w:r>
        <w:t xml:space="preserve">Перечень обслуживаемых помещений приведён в таблице:</w:t>
      </w:r>
    </w:p>
    <w:tbl>
      <w:tblPr>
        <w:tblStyle w:val="Table"/>
        <w:tblW w:type="pct" w:w="5000"/>
        <w:tblLook w:firstRow="1" w:lastRow="0" w:firstColumn="0" w:lastColumn="0" w:noHBand="0" w:noVBand="0" w:val="0020"/>
      </w:tblPr>
      <w:tblGrid>
        <w:gridCol w:w="3168"/>
        <w:gridCol w:w="3168"/>
        <w:gridCol w:w="1584"/>
      </w:tblGrid>
      <w:tr>
        <w:trPr>
          <w:tblHeader w:val="true"/>
        </w:trPr>
        <w:tc>
          <w:tcPr/>
          <w:p>
            <w:pPr>
              <w:pStyle w:val="Compact"/>
              <w:jc w:val="left"/>
            </w:pPr>
            <w:r>
              <w:t xml:space="preserve">Наименование помещения</w:t>
            </w:r>
          </w:p>
        </w:tc>
        <w:tc>
          <w:tcPr/>
          <w:p>
            <w:pPr>
              <w:pStyle w:val="Compact"/>
              <w:jc w:val="left"/>
            </w:pPr>
            <w:r>
              <w:t xml:space="preserve">Здание (пожарный отсек)</w:t>
            </w:r>
          </w:p>
        </w:tc>
        <w:tc>
          <w:tcPr/>
          <w:p>
            <w:pPr>
              <w:pStyle w:val="Compact"/>
              <w:jc w:val="left"/>
            </w:pPr>
            <w:r>
              <w:t xml:space="preserve">Категория помещения</w:t>
            </w:r>
          </w:p>
        </w:tc>
      </w:tr>
      <w:tr>
        <w:tc>
          <w:tcPr/>
          <w:p>
            <w:pPr>
              <w:pStyle w:val="Compact"/>
              <w:jc w:val="left"/>
            </w:pPr>
            <w:r>
              <w:t xml:space="preserve">Подсобное помещение</w:t>
            </w:r>
          </w:p>
        </w:tc>
        <w:tc>
          <w:tcPr/>
          <w:p>
            <w:pPr>
              <w:pStyle w:val="Compact"/>
              <w:jc w:val="left"/>
            </w:pPr>
            <w:r>
              <w:t xml:space="preserve">Здание</w:t>
            </w:r>
          </w:p>
        </w:tc>
        <w:tc>
          <w:tcPr/>
          <w:p>
            <w:pPr>
              <w:pStyle w:val="Compact"/>
              <w:jc w:val="left"/>
            </w:pPr>
            <w:r>
              <w:t xml:space="preserve">В4</w:t>
            </w:r>
          </w:p>
        </w:tc>
      </w:tr>
      <w:tr>
        <w:tc>
          <w:tcPr/>
          <w:p>
            <w:pPr>
              <w:pStyle w:val="Compact"/>
              <w:jc w:val="left"/>
            </w:pPr>
            <w:r>
              <w:t xml:space="preserve">Помещение складирования ацетона</w:t>
            </w:r>
          </w:p>
        </w:tc>
        <w:tc>
          <w:tcPr/>
          <w:p>
            <w:pPr>
              <w:pStyle w:val="Compact"/>
              <w:jc w:val="left"/>
            </w:pPr>
            <w:r>
              <w:t xml:space="preserve">Здание</w:t>
            </w:r>
          </w:p>
        </w:tc>
        <w:tc>
          <w:tcPr/>
          <w:p>
            <w:pPr>
              <w:pStyle w:val="Compact"/>
              <w:jc w:val="left"/>
            </w:pPr>
            <w:r>
              <w:t xml:space="preserve">А</w:t>
            </w:r>
          </w:p>
        </w:tc>
      </w:tr>
      <w:tr>
        <w:tc>
          <w:tcPr/>
          <w:p>
            <w:pPr>
              <w:pStyle w:val="Compact"/>
              <w:jc w:val="left"/>
            </w:pPr>
            <w:r>
              <w:t xml:space="preserve">Помещение сушильно-пропиточного отделения электромашинного цеха</w:t>
            </w:r>
          </w:p>
        </w:tc>
        <w:tc>
          <w:tcPr/>
          <w:p>
            <w:pPr>
              <w:pStyle w:val="Compact"/>
              <w:jc w:val="left"/>
            </w:pPr>
            <w:r>
              <w:t xml:space="preserve">Здание</w:t>
            </w:r>
          </w:p>
        </w:tc>
        <w:tc>
          <w:tcPr/>
          <w:p>
            <w:pPr>
              <w:pStyle w:val="Compact"/>
              <w:jc w:val="left"/>
            </w:pPr>
            <w:r>
              <w:t xml:space="preserve">В2</w:t>
            </w:r>
          </w:p>
        </w:tc>
      </w:tr>
      <w:tr>
        <w:tc>
          <w:tcPr/>
          <w:p>
            <w:pPr>
              <w:pStyle w:val="Compact"/>
              <w:jc w:val="left"/>
            </w:pPr>
            <w:r>
              <w:t xml:space="preserve">Помещение топливного бака</w:t>
            </w:r>
          </w:p>
        </w:tc>
        <w:tc>
          <w:tcPr/>
          <w:p>
            <w:pPr>
              <w:pStyle w:val="Compact"/>
              <w:jc w:val="left"/>
            </w:pPr>
            <w:r>
              <w:t xml:space="preserve">Здание</w:t>
            </w:r>
          </w:p>
        </w:tc>
        <w:tc>
          <w:tcPr/>
          <w:p>
            <w:pPr>
              <w:pStyle w:val="Compact"/>
              <w:jc w:val="left"/>
            </w:pPr>
            <w:r>
              <w:t xml:space="preserve">В1</w:t>
            </w:r>
          </w:p>
        </w:tc>
      </w:tr>
    </w:tbl>
    <w:p>
      <w:pPr>
        <w:pStyle w:val="a0"/>
      </w:pPr>
      <w:r>
        <w:t xml:space="preserve">Таким образом, рассматриваемое помещение относится к категории А.</w:t>
      </w:r>
    </w:p>
    <w:bookmarkEnd w:id="33"/>
    <w:bookmarkStart w:id="34" w:name="определение-класса-зоны-помещения-по-пуэ"/>
    <w:p>
      <w:pPr>
        <w:pStyle w:val="3"/>
      </w:pPr>
      <w:r>
        <w:t xml:space="preserve">Определение класса зоны помещения по ПУЭ</w:t>
      </w:r>
    </w:p>
    <w:p>
      <w:pPr>
        <w:pStyle w:val="FirstParagraph"/>
      </w:pPr>
      <w:r>
        <w:t xml:space="preserve">Класс зоны помещения для вентиляционного оборудования вытяжных систем и местных отсосов принимается по классу зоны обслуживаемых помещений.</w:t>
      </w:r>
    </w:p>
    <w:p>
      <w:pPr>
        <w:pStyle w:val="a0"/>
      </w:pPr>
      <w:r>
        <w:t xml:space="preserve">Перечень обслуживаемых помещений приведён в таблице:</w:t>
      </w:r>
    </w:p>
    <w:tbl>
      <w:tblPr>
        <w:tblStyle w:val="Table"/>
        <w:tblW w:type="pct" w:w="5000"/>
        <w:tblLook w:firstRow="1" w:lastRow="0" w:firstColumn="0" w:lastColumn="0" w:noHBand="0" w:noVBand="0" w:val="0020"/>
      </w:tblPr>
      <w:tblGrid>
        <w:gridCol w:w="3168"/>
        <w:gridCol w:w="3168"/>
        <w:gridCol w:w="1584"/>
      </w:tblGrid>
      <w:tr>
        <w:trPr>
          <w:tblHeader w:val="true"/>
        </w:trPr>
        <w:tc>
          <w:tcPr/>
          <w:p>
            <w:pPr>
              <w:pStyle w:val="Compact"/>
              <w:jc w:val="left"/>
            </w:pPr>
            <w:r>
              <w:t xml:space="preserve">Наименование помещения</w:t>
            </w:r>
          </w:p>
        </w:tc>
        <w:tc>
          <w:tcPr/>
          <w:p>
            <w:pPr>
              <w:pStyle w:val="Compact"/>
              <w:jc w:val="left"/>
            </w:pPr>
            <w:r>
              <w:t xml:space="preserve">Здание (пожарный отсек)</w:t>
            </w:r>
          </w:p>
        </w:tc>
        <w:tc>
          <w:tcPr/>
          <w:p>
            <w:pPr>
              <w:pStyle w:val="Compact"/>
              <w:jc w:val="left"/>
            </w:pPr>
            <w:r>
              <w:t xml:space="preserve">Класс зоны по ПУЭ</w:t>
            </w:r>
          </w:p>
        </w:tc>
      </w:tr>
      <w:tr>
        <w:tc>
          <w:tcPr/>
          <w:p>
            <w:pPr>
              <w:pStyle w:val="Compact"/>
              <w:jc w:val="left"/>
            </w:pPr>
            <w:r>
              <w:t xml:space="preserve">Подсобное помещение</w:t>
            </w:r>
          </w:p>
        </w:tc>
        <w:tc>
          <w:tcPr/>
          <w:p>
            <w:pPr>
              <w:pStyle w:val="Compact"/>
              <w:jc w:val="left"/>
            </w:pPr>
            <w:r>
              <w:t xml:space="preserve">Здание</w:t>
            </w:r>
          </w:p>
        </w:tc>
        <w:tc>
          <w:tcPr/>
          <w:p>
            <w:pPr>
              <w:pStyle w:val="Compact"/>
              <w:jc w:val="left"/>
            </w:pPr>
            <w:r>
              <w:t xml:space="preserve">П-IIа</w:t>
            </w:r>
          </w:p>
        </w:tc>
      </w:tr>
      <w:tr>
        <w:tc>
          <w:tcPr/>
          <w:p>
            <w:pPr>
              <w:pStyle w:val="Compact"/>
              <w:jc w:val="left"/>
            </w:pPr>
            <w:r>
              <w:t xml:space="preserve">Помещение складирования ацетона</w:t>
            </w:r>
          </w:p>
        </w:tc>
        <w:tc>
          <w:tcPr/>
          <w:p>
            <w:pPr>
              <w:pStyle w:val="Compact"/>
              <w:jc w:val="left"/>
            </w:pPr>
            <w:r>
              <w:t xml:space="preserve">Здание</w:t>
            </w:r>
          </w:p>
        </w:tc>
        <w:tc>
          <w:tcPr/>
          <w:p>
            <w:pPr>
              <w:pStyle w:val="Compact"/>
              <w:jc w:val="left"/>
            </w:pPr>
            <w:r>
              <w:t xml:space="preserve">В-Iа</w:t>
            </w:r>
          </w:p>
        </w:tc>
      </w:tr>
      <w:tr>
        <w:tc>
          <w:tcPr/>
          <w:p>
            <w:pPr>
              <w:pStyle w:val="Compact"/>
              <w:jc w:val="left"/>
            </w:pPr>
            <w:r>
              <w:t xml:space="preserve">Помещение сушильно-пропиточного отделения электромашинного цеха</w:t>
            </w:r>
          </w:p>
        </w:tc>
        <w:tc>
          <w:tcPr/>
          <w:p>
            <w:pPr>
              <w:pStyle w:val="Compact"/>
              <w:jc w:val="left"/>
            </w:pPr>
            <w:r>
              <w:t xml:space="preserve">Здание</w:t>
            </w:r>
          </w:p>
        </w:tc>
        <w:tc>
          <w:tcPr/>
          <w:p>
            <w:pPr>
              <w:pStyle w:val="Compact"/>
              <w:jc w:val="left"/>
            </w:pPr>
            <w:r>
              <w:t xml:space="preserve">П-I</w:t>
            </w:r>
          </w:p>
        </w:tc>
      </w:tr>
      <w:tr>
        <w:tc>
          <w:tcPr/>
          <w:p>
            <w:pPr>
              <w:pStyle w:val="Compact"/>
              <w:jc w:val="left"/>
            </w:pPr>
            <w:r>
              <w:t xml:space="preserve">Помещение топливного бака</w:t>
            </w:r>
          </w:p>
        </w:tc>
        <w:tc>
          <w:tcPr/>
          <w:p>
            <w:pPr>
              <w:pStyle w:val="Compact"/>
              <w:jc w:val="left"/>
            </w:pPr>
            <w:r>
              <w:t xml:space="preserve">Здание</w:t>
            </w:r>
          </w:p>
        </w:tc>
        <w:tc>
          <w:tcPr/>
          <w:p>
            <w:pPr>
              <w:pStyle w:val="Compact"/>
              <w:jc w:val="left"/>
            </w:pPr>
            <w:r>
              <w:t xml:space="preserve">П-I</w:t>
            </w:r>
          </w:p>
        </w:tc>
      </w:tr>
    </w:tbl>
    <w:p>
      <w:pPr>
        <w:pStyle w:val="a0"/>
      </w:pPr>
      <w:r>
        <w:t xml:space="preserve">Таким образом, класс зоны рассматриваемого помещения — В-Iа.</w:t>
      </w:r>
    </w:p>
    <w:bookmarkEnd w:id="34"/>
    <w:bookmarkStart w:id="35" w:name="X6fea804f11c119a7fa8cc9df0b96e0b58ba1125"/>
    <w:p>
      <w:pPr>
        <w:pStyle w:val="3"/>
      </w:pPr>
      <w:r>
        <w:t xml:space="preserve">Определение класса зоны помещения по ФЗ № 123</w:t>
      </w:r>
    </w:p>
    <w:p>
      <w:pPr>
        <w:pStyle w:val="FirstParagraph"/>
      </w:pPr>
      <w:r>
        <w:t xml:space="preserve">Класс зоны помещения для вентиляционного оборудования вытяжных систем и местных отсосов принимается по классу зоны обслуживаемых помещений.</w:t>
      </w:r>
    </w:p>
    <w:p>
      <w:pPr>
        <w:pStyle w:val="a0"/>
      </w:pPr>
      <w:r>
        <w:t xml:space="preserve">Перечень обслуживаемых помещений приведён в таблице:</w:t>
      </w:r>
    </w:p>
    <w:tbl>
      <w:tblPr>
        <w:tblStyle w:val="Table"/>
        <w:tblW w:type="pct" w:w="5000"/>
        <w:tblLook w:firstRow="1" w:lastRow="0" w:firstColumn="0" w:lastColumn="0" w:noHBand="0" w:noVBand="0" w:val="0020"/>
      </w:tblPr>
      <w:tblGrid>
        <w:gridCol w:w="3168"/>
        <w:gridCol w:w="3168"/>
        <w:gridCol w:w="1584"/>
      </w:tblGrid>
      <w:tr>
        <w:trPr>
          <w:tblHeader w:val="true"/>
        </w:trPr>
        <w:tc>
          <w:tcPr/>
          <w:p>
            <w:pPr>
              <w:pStyle w:val="Compact"/>
              <w:jc w:val="left"/>
            </w:pPr>
            <w:r>
              <w:t xml:space="preserve">Наименование помещения</w:t>
            </w:r>
          </w:p>
        </w:tc>
        <w:tc>
          <w:tcPr/>
          <w:p>
            <w:pPr>
              <w:pStyle w:val="Compact"/>
              <w:jc w:val="left"/>
            </w:pPr>
            <w:r>
              <w:t xml:space="preserve">Здание (пожарный отсек)</w:t>
            </w:r>
          </w:p>
        </w:tc>
        <w:tc>
          <w:tcPr/>
          <w:p>
            <w:pPr>
              <w:pStyle w:val="Compact"/>
              <w:jc w:val="left"/>
            </w:pPr>
            <w:r>
              <w:t xml:space="preserve">Класс зоны по ФЗ № 123</w:t>
            </w:r>
          </w:p>
        </w:tc>
      </w:tr>
      <w:tr>
        <w:tc>
          <w:tcPr/>
          <w:p>
            <w:pPr>
              <w:pStyle w:val="Compact"/>
              <w:jc w:val="left"/>
            </w:pPr>
            <w:r>
              <w:t xml:space="preserve">Подсобное помещение</w:t>
            </w:r>
          </w:p>
        </w:tc>
        <w:tc>
          <w:tcPr/>
          <w:p>
            <w:pPr>
              <w:pStyle w:val="Compact"/>
              <w:jc w:val="left"/>
            </w:pPr>
            <w:r>
              <w:t xml:space="preserve">Здание</w:t>
            </w:r>
          </w:p>
        </w:tc>
        <w:tc>
          <w:tcPr/>
          <w:p>
            <w:pPr>
              <w:pStyle w:val="Compact"/>
              <w:jc w:val="left"/>
            </w:pPr>
            <w:r>
              <w:t xml:space="preserve">П-IIа</w:t>
            </w:r>
          </w:p>
        </w:tc>
      </w:tr>
      <w:tr>
        <w:tc>
          <w:tcPr/>
          <w:p>
            <w:pPr>
              <w:pStyle w:val="Compact"/>
              <w:jc w:val="left"/>
            </w:pPr>
            <w:r>
              <w:t xml:space="preserve">Помещение складирования ацетона</w:t>
            </w:r>
          </w:p>
        </w:tc>
        <w:tc>
          <w:tcPr/>
          <w:p>
            <w:pPr>
              <w:pStyle w:val="Compact"/>
              <w:jc w:val="left"/>
            </w:pPr>
            <w:r>
              <w:t xml:space="preserve">Здание</w:t>
            </w:r>
          </w:p>
        </w:tc>
        <w:tc>
          <w:tcPr/>
          <w:p>
            <w:pPr>
              <w:pStyle w:val="Compact"/>
              <w:jc w:val="left"/>
            </w:pPr>
            <w:r>
              <w:t xml:space="preserve">2</w:t>
            </w:r>
          </w:p>
        </w:tc>
      </w:tr>
      <w:tr>
        <w:tc>
          <w:tcPr/>
          <w:p>
            <w:pPr>
              <w:pStyle w:val="Compact"/>
              <w:jc w:val="left"/>
            </w:pPr>
            <w:r>
              <w:t xml:space="preserve">Помещение сушильно-пропиточного отделения электромашинного цеха</w:t>
            </w:r>
          </w:p>
        </w:tc>
        <w:tc>
          <w:tcPr/>
          <w:p>
            <w:pPr>
              <w:pStyle w:val="Compact"/>
              <w:jc w:val="left"/>
            </w:pPr>
            <w:r>
              <w:t xml:space="preserve">Здание</w:t>
            </w:r>
          </w:p>
        </w:tc>
        <w:tc>
          <w:tcPr/>
          <w:p>
            <w:pPr>
              <w:pStyle w:val="Compact"/>
              <w:jc w:val="left"/>
            </w:pPr>
            <w:r>
              <w:t xml:space="preserve">П-I</w:t>
            </w:r>
          </w:p>
        </w:tc>
      </w:tr>
      <w:tr>
        <w:tc>
          <w:tcPr/>
          <w:p>
            <w:pPr>
              <w:pStyle w:val="Compact"/>
              <w:jc w:val="left"/>
            </w:pPr>
            <w:r>
              <w:t xml:space="preserve">Помещение топливного бака</w:t>
            </w:r>
          </w:p>
        </w:tc>
        <w:tc>
          <w:tcPr/>
          <w:p>
            <w:pPr>
              <w:pStyle w:val="Compact"/>
              <w:jc w:val="left"/>
            </w:pPr>
            <w:r>
              <w:t xml:space="preserve">Здание</w:t>
            </w:r>
          </w:p>
        </w:tc>
        <w:tc>
          <w:tcPr/>
          <w:p>
            <w:pPr>
              <w:pStyle w:val="Compact"/>
              <w:jc w:val="left"/>
            </w:pPr>
            <w:r>
              <w:t xml:space="preserve">П-I</w:t>
            </w:r>
          </w:p>
        </w:tc>
      </w:tr>
    </w:tbl>
    <w:p>
      <w:pPr>
        <w:pStyle w:val="a0"/>
      </w:pPr>
      <w:r>
        <w:t xml:space="preserve">Таким образом, класс зоны рассматриваемого помещения — 2.</w:t>
      </w:r>
    </w:p>
    <w:bookmarkEnd w:id="35"/>
    <w:bookmarkEnd w:id="36"/>
    <w:bookmarkStart w:id="45" w:name="этаж-1.-помещение-подсобное-помещение"/>
    <w:p>
      <w:pPr>
        <w:pStyle w:val="2"/>
      </w:pPr>
      <w:r>
        <w:t xml:space="preserve">Этаж 1. Помещение «Подсобное помещение»</w:t>
      </w:r>
    </w:p>
    <w:tbl>
      <w:tblPr>
        <w:tblStyle w:val="Table"/>
        <w:tblW w:type="pct" w:w="5000"/>
        <w:tblLook w:firstRow="1" w:lastRow="0" w:firstColumn="0" w:lastColumn="0" w:noHBand="0" w:noVBand="0" w:val="0020"/>
      </w:tblPr>
      <w:tblGrid>
        <w:gridCol w:w="5544"/>
        <w:gridCol w:w="2376"/>
      </w:tblGrid>
      <w:tr>
        <w:trPr>
          <w:tblHeader w:val="true"/>
        </w:trPr>
        <w:tc>
          <w:tcPr/>
          <w:p>
            <w:pPr>
              <w:pStyle w:val="Compact"/>
              <w:jc w:val="left"/>
            </w:pPr>
            <w:r>
              <w:t xml:space="preserve">Площадь</w:t>
            </w:r>
          </w:p>
        </w:tc>
        <w:tc>
          <w:tcPr/>
          <w:p>
            <w:pPr>
              <w:pStyle w:val="Compact"/>
              <w:jc w:val="left"/>
            </w:pPr>
            <w:r>
              <w:t xml:space="preserve">9 м²</w:t>
            </w:r>
          </w:p>
        </w:tc>
      </w:tr>
      <w:tr>
        <w:tc>
          <w:tcPr/>
          <w:p>
            <w:pPr>
              <w:pStyle w:val="Compact"/>
              <w:jc w:val="left"/>
            </w:pPr>
            <w:r>
              <w:t xml:space="preserve">Высота</w:t>
            </w:r>
          </w:p>
        </w:tc>
        <w:tc>
          <w:tcPr/>
          <w:p>
            <w:pPr>
              <w:pStyle w:val="Compact"/>
              <w:jc w:val="left"/>
            </w:pPr>
            <w:r>
              <w:t xml:space="preserve">3 м</w:t>
            </w:r>
          </w:p>
        </w:tc>
      </w:tr>
      <w:tr>
        <w:tc>
          <w:tcPr/>
          <w:p>
            <w:pPr>
              <w:pStyle w:val="Compact"/>
              <w:jc w:val="left"/>
            </w:pPr>
            <w:r>
              <w:t xml:space="preserve">Уровень нижнего пояса ферм перекрытия (покрытия)</w:t>
            </w:r>
          </w:p>
        </w:tc>
        <w:tc>
          <w:tcPr/>
          <w:p>
            <w:pPr>
              <w:pStyle w:val="Compact"/>
              <w:jc w:val="left"/>
            </w:pPr>
            <w:r>
              <w:t xml:space="preserve">3 м</w:t>
            </w:r>
          </w:p>
        </w:tc>
      </w:tr>
      <w:tr>
        <w:tc>
          <w:tcPr/>
          <w:p>
            <w:pPr>
              <w:pStyle w:val="Compact"/>
              <w:jc w:val="left"/>
            </w:pPr>
            <w:r>
              <w:t xml:space="preserve">Расчётная температура воздуха</w:t>
            </w:r>
          </w:p>
        </w:tc>
        <w:tc>
          <w:tcPr/>
          <w:p>
            <w:pPr>
              <w:pStyle w:val="Compact"/>
              <w:jc w:val="left"/>
            </w:pPr>
            <w:r>
              <w:t xml:space="preserve">30 °C</w:t>
            </w:r>
          </w:p>
        </w:tc>
      </w:tr>
      <w:tr>
        <w:tc>
          <w:tcPr/>
          <w:p>
            <w:pPr>
              <w:pStyle w:val="Compact"/>
              <w:jc w:val="left"/>
            </w:pPr>
            <w:r>
              <w:t xml:space="preserve">Имеется автоматическое пожаротушение</w:t>
            </w:r>
          </w:p>
        </w:tc>
        <w:tc>
          <w:tcPr/>
          <w:p>
            <w:pPr>
              <w:pStyle w:val="Compact"/>
              <w:jc w:val="left"/>
            </w:pPr>
            <w:r>
              <w:t xml:space="preserve">нет</w:t>
            </w:r>
          </w:p>
        </w:tc>
      </w:tr>
      <w:tr>
        <w:tc>
          <w:tcPr/>
          <w:p>
            <w:pPr>
              <w:pStyle w:val="Compact"/>
              <w:jc w:val="left"/>
            </w:pPr>
            <w:r>
              <w:t xml:space="preserve">Имеется аварийная вентиляция</w:t>
            </w:r>
          </w:p>
        </w:tc>
        <w:tc>
          <w:tcPr/>
          <w:p>
            <w:pPr>
              <w:pStyle w:val="Compact"/>
              <w:jc w:val="left"/>
            </w:pPr>
            <w:r>
              <w:t xml:space="preserve">нет</w:t>
            </w:r>
          </w:p>
        </w:tc>
      </w:tr>
      <w:tr>
        <w:tc>
          <w:tcPr/>
          <w:p>
            <w:pPr>
              <w:pStyle w:val="Compact"/>
              <w:jc w:val="left"/>
            </w:pPr>
            <w:r>
              <w:t xml:space="preserve">Категория</w:t>
            </w:r>
          </w:p>
        </w:tc>
        <w:tc>
          <w:tcPr/>
          <w:p>
            <w:pPr>
              <w:pStyle w:val="Compact"/>
              <w:jc w:val="left"/>
            </w:pPr>
            <w:r>
              <w:t xml:space="preserve">В4</w:t>
            </w:r>
          </w:p>
        </w:tc>
      </w:tr>
      <w:tr>
        <w:tc>
          <w:tcPr/>
          <w:p>
            <w:pPr>
              <w:pStyle w:val="Compact"/>
              <w:jc w:val="left"/>
            </w:pPr>
            <w:r>
              <w:t xml:space="preserve">Класс зоны по ПУЭ</w:t>
            </w:r>
          </w:p>
        </w:tc>
        <w:tc>
          <w:tcPr/>
          <w:p>
            <w:pPr>
              <w:pStyle w:val="Compact"/>
              <w:jc w:val="left"/>
            </w:pPr>
            <w:r>
              <w:t xml:space="preserve">П-IIа</w:t>
            </w:r>
          </w:p>
        </w:tc>
      </w:tr>
      <w:tr>
        <w:tc>
          <w:tcPr/>
          <w:p>
            <w:pPr>
              <w:pStyle w:val="Compact"/>
              <w:jc w:val="left"/>
            </w:pPr>
            <w:r>
              <w:t xml:space="preserve">Класс зоны по ФЗ №123</w:t>
            </w:r>
          </w:p>
        </w:tc>
        <w:tc>
          <w:tcPr/>
          <w:p>
            <w:pPr>
              <w:pStyle w:val="Compact"/>
              <w:jc w:val="left"/>
            </w:pPr>
            <w:r>
              <w:t xml:space="preserve">П-IIа</w:t>
            </w:r>
          </w:p>
        </w:tc>
      </w:tr>
    </w:tbl>
    <w:bookmarkStart w:id="38" w:name="участок-участок_01"/>
    <w:p>
      <w:pPr>
        <w:pStyle w:val="3"/>
      </w:pPr>
      <w:r>
        <w:t xml:space="preserve">Участок «Участок_01»</w:t>
      </w:r>
    </w:p>
    <w:tbl>
      <w:tblPr>
        <w:tblStyle w:val="Table"/>
        <w:tblW w:type="pct" w:w="5000"/>
        <w:tblLook w:firstRow="1" w:lastRow="0" w:firstColumn="0" w:lastColumn="0" w:noHBand="0" w:noVBand="0" w:val="0020"/>
      </w:tblPr>
      <w:tblGrid>
        <w:gridCol w:w="5544"/>
        <w:gridCol w:w="2376"/>
      </w:tblGrid>
      <w:tr>
        <w:trPr>
          <w:tblHeader w:val="true"/>
        </w:trPr>
        <w:tc>
          <w:tcPr/>
          <w:p>
            <w:pPr>
              <w:pStyle w:val="Compact"/>
              <w:jc w:val="left"/>
            </w:pPr>
            <w:r>
              <w:t xml:space="preserve">Площадь</w:t>
            </w:r>
          </w:p>
        </w:tc>
        <w:tc>
          <w:tcPr/>
          <w:p>
            <w:pPr>
              <w:pStyle w:val="Compact"/>
              <w:jc w:val="left"/>
            </w:pPr>
            <w:r>
              <w:t xml:space="preserve">9 м²</w:t>
            </w:r>
          </w:p>
        </w:tc>
      </w:tr>
      <w:tr>
        <w:tc>
          <w:tcPr/>
          <w:p>
            <w:pPr>
              <w:pStyle w:val="Compact"/>
              <w:jc w:val="left"/>
            </w:pPr>
            <w:r>
              <w:t xml:space="preserve">Высота</w:t>
            </w:r>
          </w:p>
        </w:tc>
        <w:tc>
          <w:tcPr/>
          <w:p>
            <w:pPr>
              <w:pStyle w:val="Compact"/>
              <w:jc w:val="left"/>
            </w:pPr>
            <w:r>
              <w:t xml:space="preserve">1,5 м</w:t>
            </w:r>
          </w:p>
        </w:tc>
      </w:tr>
    </w:tbl>
    <w:bookmarkStart w:id="37" w:name="определение-удельной-пожарной-нагрузки"/>
    <w:p>
      <w:pPr>
        <w:pStyle w:val="4"/>
      </w:pPr>
      <w:r>
        <w:t xml:space="preserve">Определение удельной пожарной нагрузки</w:t>
      </w:r>
    </w:p>
    <w:p>
      <w:pPr>
        <w:pStyle w:val="FirstParagraph"/>
      </w:pPr>
      <w:r>
        <w:t xml:space="preserve">Пожарная нагрузка на участке:</w:t>
      </w:r>
    </w:p>
    <w:tbl>
      <w:tblPr>
        <w:tblStyle w:val="Table"/>
        <w:tblW w:type="pct" w:w="5000"/>
        <w:tblLook w:firstRow="1" w:lastRow="0" w:firstColumn="0" w:lastColumn="0" w:noHBand="0" w:noVBand="0" w:val="0020"/>
      </w:tblPr>
      <w:tblGrid>
        <w:gridCol w:w="396"/>
        <w:gridCol w:w="1980"/>
        <w:gridCol w:w="2376"/>
        <w:gridCol w:w="792"/>
        <w:gridCol w:w="1188"/>
        <w:gridCol w:w="1188"/>
      </w:tblGrid>
      <w:tr>
        <w:trPr>
          <w:tblHeader w:val="true"/>
        </w:trPr>
        <w:tc>
          <w:tcPr/>
          <w:p>
            <w:pPr>
              <w:pStyle w:val="Compact"/>
              <w:jc w:val="left"/>
            </w:pPr>
            <w:r>
              <w:t xml:space="preserve">№</w:t>
            </w:r>
          </w:p>
        </w:tc>
        <w:tc>
          <w:tcPr/>
          <w:p>
            <w:pPr>
              <w:pStyle w:val="Compact"/>
              <w:jc w:val="left"/>
            </w:pPr>
            <w:r>
              <w:t xml:space="preserve">Наименование</w:t>
            </w:r>
          </w:p>
        </w:tc>
        <w:tc>
          <w:tcPr/>
          <w:p>
            <w:pPr>
              <w:pStyle w:val="Compact"/>
              <w:jc w:val="left"/>
            </w:pPr>
            <w:r>
              <w:t xml:space="preserve">Горючая нагрузка</w:t>
            </w:r>
          </w:p>
        </w:tc>
        <w:tc>
          <w:tcPr/>
          <w:p>
            <w:pPr>
              <w:pStyle w:val="Compact"/>
              <w:jc w:val="left"/>
            </w:pPr>
            <w:r>
              <w:t xml:space="preserve">Масса</w:t>
            </w:r>
          </w:p>
        </w:tc>
        <w:tc>
          <w:tcPr/>
          <w:p>
            <w:pPr>
              <w:pStyle w:val="Compact"/>
              <w:jc w:val="left"/>
            </w:pPr>
            <w:r>
              <w:t xml:space="preserve">Теплота сгорания</w:t>
            </w:r>
          </w:p>
        </w:tc>
        <w:tc>
          <w:tcPr/>
          <w:p>
            <w:pPr>
              <w:pStyle w:val="Compact"/>
              <w:jc w:val="left"/>
            </w:pPr>
            <w:r>
              <w:t xml:space="preserve">Пожарная нагрузка</w:t>
            </w:r>
          </w:p>
        </w:tc>
      </w:tr>
      <w:tr>
        <w:tc>
          <w:tcPr/>
          <w:p>
            <w:pPr>
              <w:pStyle w:val="Compact"/>
              <w:jc w:val="left"/>
            </w:pPr>
            <w:r>
              <w:t xml:space="preserve">1</w:t>
            </w:r>
          </w:p>
        </w:tc>
        <w:tc>
          <w:tcPr/>
          <w:p>
            <w:pPr>
              <w:pStyle w:val="Compact"/>
              <w:jc w:val="left"/>
            </w:pPr>
            <w:r>
              <w:t xml:space="preserve">инструменты</w:t>
            </w:r>
          </w:p>
        </w:tc>
        <w:tc>
          <w:tcPr/>
          <w:p>
            <w:pPr>
              <w:pStyle w:val="Compact"/>
              <w:jc w:val="left"/>
            </w:pPr>
            <w:r>
              <w:t xml:space="preserve">Дерево+лак.покрытие, 0,95*древесина+0,05*(ФЛ+РХО)</w:t>
            </w:r>
          </w:p>
        </w:tc>
        <w:tc>
          <w:tcPr/>
          <w:p>
            <w:pPr>
              <w:pStyle w:val="Compact"/>
              <w:jc w:val="left"/>
            </w:pPr>
            <w:r>
              <w:t xml:space="preserve">20 кг</w:t>
            </w:r>
          </w:p>
        </w:tc>
        <w:tc>
          <w:tcPr/>
          <w:p>
            <w:pPr>
              <w:pStyle w:val="Compact"/>
              <w:jc w:val="left"/>
            </w:pPr>
            <w:r>
              <w:t xml:space="preserve">13,9 МДж/кг</w:t>
            </w:r>
          </w:p>
        </w:tc>
        <w:tc>
          <w:tcPr/>
          <w:p>
            <w:pPr>
              <w:pStyle w:val="Compact"/>
              <w:jc w:val="left"/>
            </w:pPr>
            <w:r>
              <w:t xml:space="preserve">278 МДж</w:t>
            </w:r>
          </w:p>
        </w:tc>
      </w:tr>
      <w:tr>
        <w:tc>
          <w:tcPr/>
          <w:p>
            <w:pPr>
              <w:pStyle w:val="Compact"/>
              <w:jc w:val="left"/>
            </w:pPr>
            <w:r>
              <w:t xml:space="preserve">2</w:t>
            </w:r>
          </w:p>
        </w:tc>
        <w:tc>
          <w:tcPr/>
          <w:p>
            <w:pPr>
              <w:pStyle w:val="Compact"/>
              <w:jc w:val="left"/>
            </w:pPr>
            <w:r>
              <w:t xml:space="preserve">одежда</w:t>
            </w:r>
          </w:p>
        </w:tc>
        <w:tc>
          <w:tcPr/>
          <w:p>
            <w:pPr>
              <w:pStyle w:val="Compact"/>
              <w:jc w:val="left"/>
            </w:pPr>
            <w:r>
              <w:t xml:space="preserve">Верхняя одежда, ворс. ткани (шерсть+нейлон)</w:t>
            </w:r>
          </w:p>
        </w:tc>
        <w:tc>
          <w:tcPr/>
          <w:p>
            <w:pPr>
              <w:pStyle w:val="Compact"/>
              <w:jc w:val="left"/>
            </w:pPr>
            <w:r>
              <w:t xml:space="preserve">3 кг</w:t>
            </w:r>
          </w:p>
        </w:tc>
        <w:tc>
          <w:tcPr/>
          <w:p>
            <w:pPr>
              <w:pStyle w:val="Compact"/>
              <w:jc w:val="left"/>
            </w:pPr>
            <w:r>
              <w:t xml:space="preserve">23,3 МДж/кг</w:t>
            </w:r>
          </w:p>
        </w:tc>
        <w:tc>
          <w:tcPr/>
          <w:p>
            <w:pPr>
              <w:pStyle w:val="Compact"/>
              <w:jc w:val="left"/>
            </w:pPr>
            <w:r>
              <w:t xml:space="preserve">69,9 МДж</w:t>
            </w:r>
          </w:p>
        </w:tc>
      </w:tr>
      <w:tr>
        <w:tc>
          <w:tcPr/>
          <w:p>
            <w:pPr>
              <w:pStyle w:val="Compact"/>
              <w:jc w:val="left"/>
            </w:pPr>
            <w:r>
              <w:t xml:space="preserve">3</w:t>
            </w:r>
          </w:p>
        </w:tc>
        <w:tc>
          <w:tcPr/>
          <w:p>
            <w:pPr>
              <w:pStyle w:val="Compact"/>
              <w:jc w:val="left"/>
            </w:pPr>
            <w:r>
              <w:t xml:space="preserve">упаковка</w:t>
            </w:r>
          </w:p>
        </w:tc>
        <w:tc>
          <w:tcPr/>
          <w:p>
            <w:pPr>
              <w:pStyle w:val="Compact"/>
              <w:jc w:val="left"/>
            </w:pPr>
            <w:r>
              <w:t xml:space="preserve">Бумага</w:t>
            </w:r>
          </w:p>
        </w:tc>
        <w:tc>
          <w:tcPr/>
          <w:p>
            <w:pPr>
              <w:pStyle w:val="Compact"/>
              <w:jc w:val="left"/>
            </w:pPr>
            <w:r>
              <w:t xml:space="preserve">10 кг</w:t>
            </w:r>
          </w:p>
        </w:tc>
        <w:tc>
          <w:tcPr/>
          <w:p>
            <w:pPr>
              <w:pStyle w:val="Compact"/>
              <w:jc w:val="left"/>
            </w:pPr>
            <w:r>
              <w:t xml:space="preserve">13,4 МДж/кг</w:t>
            </w:r>
          </w:p>
        </w:tc>
        <w:tc>
          <w:tcPr/>
          <w:p>
            <w:pPr>
              <w:pStyle w:val="Compact"/>
              <w:jc w:val="left"/>
            </w:pPr>
            <w:r>
              <w:t xml:space="preserve">134 МДж</w:t>
            </w:r>
          </w:p>
        </w:tc>
      </w:tr>
      <w:tr>
        <w:tc>
          <w:tcPr/>
          <w:p>
            <w:pPr>
              <w:pStyle w:val="Compact"/>
            </w:pPr>
          </w:p>
        </w:tc>
        <w:tc>
          <w:tcPr>
            <w:gridSpan w:val="4"/>
          </w:tcPr>
          <w:p>
            <w:pPr>
              <w:pStyle w:val="Compact"/>
              <w:jc w:val="left"/>
            </w:pPr>
            <w:r>
              <w:t xml:space="preserve">Итого:</w:t>
            </w:r>
          </w:p>
        </w:tc>
        <w:tc>
          <w:tcPr/>
          <w:p>
            <w:pPr>
              <w:pStyle w:val="Compact"/>
              <w:jc w:val="left"/>
            </w:pPr>
            <m:oMath>
              <m:r>
                <m:t>481</m:t>
              </m:r>
              <m:r>
                <m:rPr>
                  <m:sty m:val="p"/>
                </m:rPr>
                <m:t>,</m:t>
              </m:r>
              <m:r>
                <m:t>9</m:t>
              </m:r>
              <m:r>
                <m:t> </m:t>
              </m:r>
              <m:r>
                <m:rPr>
                  <m:nor/>
                  <m:sty m:val="p"/>
                </m:rPr>
                <m:t>МДж</m:t>
              </m:r>
            </m:oMath>
          </w:p>
        </w:tc>
      </w:tr>
    </w:tbl>
    <w:p>
      <w:pPr>
        <w:pStyle w:val="a0"/>
      </w:pPr>
      <w:r>
        <w:t xml:space="preserve">Удельная пожарная нагрузка определяется по формуле:</w:t>
      </w:r>
    </w:p>
    <w:p>
      <w:pPr>
        <w:pStyle w:val="a0"/>
      </w:pPr>
      <m:oMathPara>
        <m:oMathParaPr>
          <m:jc m:val="center"/>
        </m:oMathParaPr>
        <m:oMath>
          <m:r>
            <m:t>g</m:t>
          </m:r>
          <m:r>
            <m:rPr>
              <m:sty m:val="p"/>
            </m:rPr>
            <m:t>=</m:t>
          </m:r>
          <m:r>
            <m:t>Q</m:t>
          </m:r>
          <m:r>
            <m:rPr>
              <m:sty m:val="p"/>
            </m:rPr>
            <m:t>/</m:t>
          </m:r>
          <m:r>
            <m:t>S</m:t>
          </m:r>
          <m:r>
            <m:rPr>
              <m:sty m:val="p"/>
            </m:rPr>
            <m:t>=</m:t>
          </m:r>
          <m:r>
            <m:t>481</m:t>
          </m:r>
          <m:r>
            <m:rPr>
              <m:sty m:val="p"/>
            </m:rPr>
            <m:t>,</m:t>
          </m:r>
          <m:r>
            <m:t>9</m:t>
          </m:r>
          <m:r>
            <m:rPr>
              <m:sty m:val="p"/>
            </m:rPr>
            <m:t>/</m:t>
          </m:r>
          <m:r>
            <m:t>10</m:t>
          </m:r>
          <m:r>
            <m:rPr>
              <m:sty m:val="p"/>
            </m:rPr>
            <m:t>=</m:t>
          </m:r>
          <m:r>
            <m:t>48</m:t>
          </m:r>
          <m:r>
            <m:rPr>
              <m:sty m:val="p"/>
            </m:rPr>
            <m:t>,</m:t>
          </m:r>
          <m:r>
            <m:t>2</m:t>
          </m:r>
          <m:r>
            <m:t> </m:t>
          </m:r>
          <m:r>
            <m:rPr>
              <m:nor/>
              <m:sty m:val="p"/>
            </m:rPr>
            <m:t>МДж/м²</m:t>
          </m:r>
          <m:r>
            <m:rPr>
              <m:sty m:val="p"/>
            </m:rPr>
            <m:t>,</m:t>
          </m:r>
        </m:oMath>
      </m:oMathPara>
    </w:p>
    <w:p>
      <w:pPr>
        <w:pStyle w:val="FirstParagraph"/>
      </w:pPr>
      <w:r>
        <w:t xml:space="preserve">где:</w:t>
      </w:r>
    </w:p>
    <w:tbl>
      <w:tblPr>
        <w:tblStyle w:val="Table"/>
        <w:tblW w:type="pct" w:w="5000"/>
        <w:tblLook w:firstRow="1" w:lastRow="0" w:firstColumn="0" w:lastColumn="0" w:noHBand="0" w:noVBand="0" w:val="0020"/>
      </w:tblPr>
      <w:tblGrid>
        <w:gridCol w:w="792"/>
        <w:gridCol w:w="5544"/>
        <w:gridCol w:w="1584"/>
      </w:tblGrid>
      <w:tr>
        <w:trPr>
          <w:tblHeader w:val="true"/>
        </w:trPr>
        <w:tc>
          <w:tcPr/>
          <w:p>
            <w:pPr>
              <w:pStyle w:val="Compact"/>
              <w:jc w:val="left"/>
            </w:pPr>
            <m:oMath>
              <m:r>
                <m:t>Q</m:t>
              </m:r>
              <m:r>
                <m:rPr>
                  <m:sty m:val="p"/>
                </m:rPr>
                <m:t>−</m:t>
              </m:r>
            </m:oMath>
          </w:p>
        </w:tc>
        <w:tc>
          <w:tcPr/>
          <w:p>
            <w:pPr>
              <w:pStyle w:val="Compact"/>
              <w:jc w:val="left"/>
            </w:pPr>
            <w:r>
              <w:t xml:space="preserve">суммарная пожарная нагрузка на участке</w:t>
            </w:r>
          </w:p>
        </w:tc>
        <w:tc>
          <w:tcPr/>
          <w:p>
            <w:pPr>
              <w:pStyle w:val="Compact"/>
              <w:jc w:val="left"/>
            </w:pPr>
            <m:oMath>
              <m:r>
                <m:t>481</m:t>
              </m:r>
              <m:r>
                <m:rPr>
                  <m:sty m:val="p"/>
                </m:rPr>
                <m:t>,</m:t>
              </m:r>
              <m:r>
                <m:t>9</m:t>
              </m:r>
              <m:r>
                <m:t> </m:t>
              </m:r>
              <m:r>
                <m:rPr>
                  <m:nor/>
                  <m:sty m:val="p"/>
                </m:rPr>
                <m:t>МДж</m:t>
              </m:r>
            </m:oMath>
          </w:p>
        </w:tc>
      </w:tr>
      <w:tr>
        <w:tc>
          <w:tcPr/>
          <w:p>
            <w:pPr>
              <w:pStyle w:val="Compact"/>
              <w:jc w:val="left"/>
            </w:pPr>
            <m:oMath>
              <m:r>
                <m:t>S</m:t>
              </m:r>
              <m:r>
                <m:rPr>
                  <m:sty m:val="p"/>
                </m:rPr>
                <m:t>−</m:t>
              </m:r>
            </m:oMath>
          </w:p>
        </w:tc>
        <w:tc>
          <w:tcPr/>
          <w:p>
            <w:pPr>
              <w:pStyle w:val="Compact"/>
              <w:jc w:val="left"/>
            </w:pPr>
            <w:r>
              <w:t xml:space="preserve">площадь участка (при площади менее 10 м², принимается значение 10 м²)</w:t>
            </w:r>
          </w:p>
        </w:tc>
        <w:tc>
          <w:tcPr/>
          <w:p>
            <w:pPr>
              <w:pStyle w:val="Compact"/>
              <w:jc w:val="left"/>
            </w:pPr>
            <m:oMath>
              <m:r>
                <m:t>10</m:t>
              </m:r>
              <m:r>
                <m:t> </m:t>
              </m:r>
              <m:r>
                <m:rPr>
                  <m:nor/>
                  <m:sty m:val="p"/>
                </m:rPr>
                <m:t>м²</m:t>
              </m:r>
            </m:oMath>
          </w:p>
        </w:tc>
      </w:tr>
    </w:tbl>
    <w:bookmarkEnd w:id="37"/>
    <w:bookmarkEnd w:id="38"/>
    <w:bookmarkStart w:id="42" w:name="определение-категории-помещения-1"/>
    <w:p>
      <w:pPr>
        <w:pStyle w:val="3"/>
      </w:pPr>
      <w:r>
        <w:t xml:space="preserve">Определение категории помещения</w:t>
      </w:r>
    </w:p>
    <w:p>
      <w:pPr>
        <w:pStyle w:val="FirstParagraph"/>
      </w:pPr>
      <w:r>
        <w:t xml:space="preserve">Расчётные характеристики участков:</w:t>
      </w:r>
    </w:p>
    <w:tbl>
      <w:tblPr>
        <w:tblStyle w:val="Table"/>
        <w:tblW w:type="pct" w:w="5000"/>
        <w:tblLook w:firstRow="1" w:lastRow="0" w:firstColumn="0" w:lastColumn="0" w:noHBand="0" w:noVBand="0" w:val="0020"/>
      </w:tblPr>
      <w:tblGrid>
        <w:gridCol w:w="2639"/>
        <w:gridCol w:w="2639"/>
        <w:gridCol w:w="2639"/>
      </w:tblGrid>
      <w:tr>
        <w:trPr>
          <w:tblHeader w:val="true"/>
        </w:trPr>
        <w:tc>
          <w:tcPr/>
          <w:p>
            <w:pPr>
              <w:pStyle w:val="Compact"/>
              <w:jc w:val="left"/>
            </w:pPr>
            <w:r>
              <w:t xml:space="preserve">Наименование</w:t>
            </w:r>
          </w:p>
        </w:tc>
        <w:tc>
          <w:tcPr/>
          <w:p>
            <w:pPr>
              <w:pStyle w:val="Compact"/>
              <w:jc w:val="left"/>
            </w:pPr>
            <m:oMath>
              <m:r>
                <m:t>g</m:t>
              </m:r>
            </m:oMath>
          </w:p>
        </w:tc>
        <w:tc>
          <w:tcPr/>
          <w:p>
            <w:pPr>
              <w:pStyle w:val="Compact"/>
              <w:jc w:val="left"/>
            </w:pPr>
            <w:r>
              <w:t xml:space="preserve">Площадь</w:t>
            </w:r>
          </w:p>
        </w:tc>
      </w:tr>
      <w:tr>
        <w:tc>
          <w:tcPr/>
          <w:p>
            <w:pPr>
              <w:pStyle w:val="Compact"/>
              <w:jc w:val="left"/>
            </w:pPr>
            <w:r>
              <w:t xml:space="preserve">Участок_01</w:t>
            </w:r>
          </w:p>
        </w:tc>
        <w:tc>
          <w:tcPr/>
          <w:p>
            <w:pPr>
              <w:pStyle w:val="Compact"/>
              <w:jc w:val="left"/>
            </w:pPr>
            <w:r>
              <w:t xml:space="preserve">48,2 МДж/м²</w:t>
            </w:r>
          </w:p>
        </w:tc>
        <w:tc>
          <w:tcPr/>
          <w:p>
            <w:pPr>
              <w:pStyle w:val="Compact"/>
              <w:jc w:val="left"/>
            </w:pPr>
            <w:r>
              <w:t xml:space="preserve">9 м²</w:t>
            </w:r>
          </w:p>
        </w:tc>
      </w:tr>
    </w:tbl>
    <w:p>
      <w:pPr>
        <w:pStyle w:val="a0"/>
      </w:pPr>
      <w:r>
        <w:t xml:space="preserve">где:</w:t>
      </w:r>
      <w:r>
        <w:t xml:space="preserve"> </w:t>
      </w:r>
      <m:oMath>
        <m:r>
          <m:t>g</m:t>
        </m:r>
      </m:oMath>
      <w:r>
        <w:t xml:space="preserve"> </w:t>
      </w:r>
      <w:r>
        <w:t xml:space="preserve">– удельная пожарная нагрузка на участке, определяемая по формуле (Б.2) СП 12.13130.2009.</w:t>
      </w:r>
    </w:p>
    <w:p>
      <w:pPr>
        <w:pStyle w:val="a0"/>
      </w:pPr>
      <w:r>
        <w:t xml:space="preserve">В помещении не находятся горючие газы, легковоспламеняющиеся жидкости с температурой вспышки не более 28 °С и (или) вещества и материалы, способные взрываться и гореть при взаимодействии с водой, кислородом воздуха или друг с другом, в таком количестве, что расчётное избыточное давление взрыва в помещении превышает 5 кПа, поэтому помещение не относится к категории А.</w:t>
      </w:r>
    </w:p>
    <w:p>
      <w:pPr>
        <w:pStyle w:val="a0"/>
      </w:pPr>
      <w:r>
        <w:t xml:space="preserve">В помещении не находятся горючие пыли или волокна, легковоспламеняющиеся жидкости с температурой вспышки более 28 °С, горючие жидкости в таком количестве, что могут образовывать взрывоопасные пылевоздушные или паровоздушные смеси, при воспламенении которых развивается расчётное избыточное давление взрыва в помещении, превышающее 5 кПа, поэтому помещение не относится к категории Б.</w:t>
      </w:r>
    </w:p>
    <w:p>
      <w:pPr>
        <w:pStyle w:val="a0"/>
      </w:pPr>
      <w:r>
        <w:t xml:space="preserve">Вывод: согласно п.п. Б.1, Б.2 СП 12.13130.2009, поскольку g ≤ 180 МДж/м², площадь участков не превышает 10 м² и расстояния между ними не меньше предельных, помещение относится к категории В4.</w:t>
      </w:r>
    </w:p>
    <w:p>
      <w:pPr>
        <w:pStyle w:val="CaptionedFigure"/>
      </w:pPr>
      <w:r>
        <w:drawing>
          <wp:inline>
            <wp:extent cx="5759999" cy="3839999"/>
            <wp:effectExtent b="0" l="0" r="0" t="0"/>
            <wp:docPr descr="Определение категории помещения" title="" id="40" name="Picture"/>
            <a:graphic>
              <a:graphicData uri="http://schemas.openxmlformats.org/drawingml/2006/picture">
                <pic:pic>
                  <pic:nvPicPr>
                    <pic:cNvPr descr="C:\Users\Надя\AppData\Local\Temp\tmp3B69.tmp" id="41" name="Picture"/>
                    <pic:cNvPicPr>
                      <a:picLocks noChangeArrowheads="1" noChangeAspect="1"/>
                    </pic:cNvPicPr>
                  </pic:nvPicPr>
                  <pic:blipFill>
                    <a:blip r:embed="rId39"/>
                    <a:stretch>
                      <a:fillRect/>
                    </a:stretch>
                  </pic:blipFill>
                  <pic:spPr bwMode="auto">
                    <a:xfrm>
                      <a:off x="0" y="0"/>
                      <a:ext cx="5759999" cy="3839999"/>
                    </a:xfrm>
                    <a:prstGeom prst="rect">
                      <a:avLst/>
                    </a:prstGeom>
                    <a:noFill/>
                    <a:ln w="9525">
                      <a:noFill/>
                      <a:headEnd/>
                      <a:tailEnd/>
                    </a:ln>
                  </pic:spPr>
                </pic:pic>
              </a:graphicData>
            </a:graphic>
          </wp:inline>
        </w:drawing>
      </w:r>
    </w:p>
    <w:p>
      <w:pPr>
        <w:pStyle w:val="ImageCaption"/>
      </w:pPr>
      <w:r>
        <w:t xml:space="preserve">Определение категории помещения</w:t>
      </w:r>
    </w:p>
    <w:bookmarkEnd w:id="42"/>
    <w:bookmarkStart w:id="43" w:name="X2e75c0fe13149558ed1e3d3877ff8be5b511764"/>
    <w:p>
      <w:pPr>
        <w:pStyle w:val="3"/>
      </w:pPr>
      <w:r>
        <w:t xml:space="preserve">Определение класса зоны помещения по ПУЭ</w:t>
      </w:r>
    </w:p>
    <w:p>
      <w:pPr>
        <w:pStyle w:val="FirstParagraph"/>
      </w:pPr>
      <w:r>
        <w:t xml:space="preserve">Согласно п. 7.4.9 ПУЭ, определение границ и класса пожароопасных зон должно производиться технологами совместно с электриками проектной или эксплуатационной организации.</w:t>
      </w:r>
    </w:p>
    <w:p>
      <w:pPr>
        <w:pStyle w:val="a0"/>
      </w:pPr>
      <w:r>
        <w:t xml:space="preserve">Согласно п. 7.4.5 ПУЭ, зоны, расположенные в помещениях, в которых обращаются твёрдые горючие вещества,</w:t>
      </w:r>
      <w:r>
        <w:t xml:space="preserve"> </w:t>
      </w:r>
      <w:r>
        <w:rPr>
          <w:bCs/>
          <w:b/>
        </w:rPr>
        <w:t xml:space="preserve">относятся к классу П-IIа</w:t>
      </w:r>
      <w:r>
        <w:t xml:space="preserve">.</w:t>
      </w:r>
    </w:p>
    <w:bookmarkEnd w:id="43"/>
    <w:bookmarkStart w:id="44" w:name="X75d48a87bfec2f7effe84863b202321c7f0a897"/>
    <w:p>
      <w:pPr>
        <w:pStyle w:val="3"/>
      </w:pPr>
      <w:r>
        <w:t xml:space="preserve">Определение класса зоны помещения по ФЗ № 123</w:t>
      </w:r>
    </w:p>
    <w:p>
      <w:pPr>
        <w:pStyle w:val="FirstParagraph"/>
      </w:pPr>
      <w:r>
        <w:t xml:space="preserve">Согласно ст. 18 «Технического регламента о требованиях пожарной безопасности», зоны, расположенные в помещениях, в которых обращаются твёрдые горючие вещества в количестве, при котором удельная пожарная нагрузка составляет не менее 1 мегаджоуля на квадратный метр,</w:t>
      </w:r>
      <w:r>
        <w:t xml:space="preserve"> </w:t>
      </w:r>
      <w:r>
        <w:rPr>
          <w:bCs/>
          <w:b/>
        </w:rPr>
        <w:t xml:space="preserve">относятся к классу П-IIа</w:t>
      </w:r>
      <w:r>
        <w:t xml:space="preserve">.</w:t>
      </w:r>
    </w:p>
    <w:bookmarkEnd w:id="44"/>
    <w:bookmarkEnd w:id="45"/>
    <w:bookmarkStart w:id="56" w:name="X6ab217137b8ec3ee23b48a8dfab6745e274097c"/>
    <w:p>
      <w:pPr>
        <w:pStyle w:val="2"/>
      </w:pPr>
      <w:r>
        <w:t xml:space="preserve">Этаж 2. Помещение «Помещение обслуживания автомобилей»</w:t>
      </w:r>
    </w:p>
    <w:tbl>
      <w:tblPr>
        <w:tblStyle w:val="Table"/>
        <w:tblW w:type="pct" w:w="5000"/>
        <w:tblLook w:firstRow="1" w:lastRow="0" w:firstColumn="0" w:lastColumn="0" w:noHBand="0" w:noVBand="0" w:val="0020"/>
      </w:tblPr>
      <w:tblGrid>
        <w:gridCol w:w="5544"/>
        <w:gridCol w:w="2376"/>
      </w:tblGrid>
      <w:tr>
        <w:trPr>
          <w:tblHeader w:val="true"/>
        </w:trPr>
        <w:tc>
          <w:tcPr/>
          <w:p>
            <w:pPr>
              <w:pStyle w:val="Compact"/>
              <w:jc w:val="left"/>
            </w:pPr>
            <w:r>
              <w:t xml:space="preserve">Площадь</w:t>
            </w:r>
          </w:p>
        </w:tc>
        <w:tc>
          <w:tcPr/>
          <w:p>
            <w:pPr>
              <w:pStyle w:val="Compact"/>
              <w:jc w:val="left"/>
            </w:pPr>
            <w:r>
              <w:t xml:space="preserve">800 м²</w:t>
            </w:r>
          </w:p>
        </w:tc>
      </w:tr>
      <w:tr>
        <w:tc>
          <w:tcPr/>
          <w:p>
            <w:pPr>
              <w:pStyle w:val="Compact"/>
              <w:jc w:val="left"/>
            </w:pPr>
            <w:r>
              <w:t xml:space="preserve">Длина</w:t>
            </w:r>
          </w:p>
        </w:tc>
        <w:tc>
          <w:tcPr/>
          <w:p>
            <w:pPr>
              <w:pStyle w:val="Compact"/>
              <w:jc w:val="left"/>
            </w:pPr>
            <w:r>
              <w:t xml:space="preserve">40 м</w:t>
            </w:r>
          </w:p>
        </w:tc>
      </w:tr>
      <w:tr>
        <w:tc>
          <w:tcPr/>
          <w:p>
            <w:pPr>
              <w:pStyle w:val="Compact"/>
              <w:jc w:val="left"/>
            </w:pPr>
            <w:r>
              <w:t xml:space="preserve">Ширина</w:t>
            </w:r>
          </w:p>
        </w:tc>
        <w:tc>
          <w:tcPr/>
          <w:p>
            <w:pPr>
              <w:pStyle w:val="Compact"/>
              <w:jc w:val="left"/>
            </w:pPr>
            <w:r>
              <w:t xml:space="preserve">20 м</w:t>
            </w:r>
          </w:p>
        </w:tc>
      </w:tr>
      <w:tr>
        <w:tc>
          <w:tcPr/>
          <w:p>
            <w:pPr>
              <w:pStyle w:val="Compact"/>
              <w:jc w:val="left"/>
            </w:pPr>
            <w:r>
              <w:t xml:space="preserve">Высота</w:t>
            </w:r>
          </w:p>
        </w:tc>
        <w:tc>
          <w:tcPr/>
          <w:p>
            <w:pPr>
              <w:pStyle w:val="Compact"/>
              <w:jc w:val="left"/>
            </w:pPr>
            <w:r>
              <w:t xml:space="preserve">6 м</w:t>
            </w:r>
          </w:p>
        </w:tc>
      </w:tr>
      <w:tr>
        <w:tc>
          <w:tcPr/>
          <w:p>
            <w:pPr>
              <w:pStyle w:val="Compact"/>
              <w:jc w:val="left"/>
            </w:pPr>
            <w:r>
              <w:t xml:space="preserve">Уровень нижнего пояса ферм перекрытия (покрытия)</w:t>
            </w:r>
          </w:p>
        </w:tc>
        <w:tc>
          <w:tcPr/>
          <w:p>
            <w:pPr>
              <w:pStyle w:val="Compact"/>
              <w:jc w:val="left"/>
            </w:pPr>
            <w:r>
              <w:t xml:space="preserve">6 м</w:t>
            </w:r>
          </w:p>
        </w:tc>
      </w:tr>
      <w:tr>
        <w:tc>
          <w:tcPr/>
          <w:p>
            <w:pPr>
              <w:pStyle w:val="Compact"/>
              <w:jc w:val="left"/>
            </w:pPr>
            <w:r>
              <w:t xml:space="preserve">Расчётная температура воздуха</w:t>
            </w:r>
          </w:p>
        </w:tc>
        <w:tc>
          <w:tcPr/>
          <w:p>
            <w:pPr>
              <w:pStyle w:val="Compact"/>
              <w:jc w:val="left"/>
            </w:pPr>
            <w:r>
              <w:t xml:space="preserve">61 °C</w:t>
            </w:r>
          </w:p>
        </w:tc>
      </w:tr>
      <w:tr>
        <w:tc>
          <w:tcPr/>
          <w:p>
            <w:pPr>
              <w:pStyle w:val="Compact"/>
              <w:jc w:val="left"/>
            </w:pPr>
            <w:r>
              <w:t xml:space="preserve">Имеется автоматическое пожаротушение</w:t>
            </w:r>
          </w:p>
        </w:tc>
        <w:tc>
          <w:tcPr/>
          <w:p>
            <w:pPr>
              <w:pStyle w:val="Compact"/>
              <w:jc w:val="left"/>
            </w:pPr>
            <w:r>
              <w:t xml:space="preserve">нет</w:t>
            </w:r>
          </w:p>
        </w:tc>
      </w:tr>
      <w:tr>
        <w:tc>
          <w:tcPr/>
          <w:p>
            <w:pPr>
              <w:pStyle w:val="Compact"/>
              <w:jc w:val="left"/>
            </w:pPr>
            <w:r>
              <w:t xml:space="preserve">Имеется аварийная вентиляция</w:t>
            </w:r>
          </w:p>
        </w:tc>
        <w:tc>
          <w:tcPr/>
          <w:p>
            <w:pPr>
              <w:pStyle w:val="Compact"/>
              <w:jc w:val="left"/>
            </w:pPr>
            <w:r>
              <w:t xml:space="preserve">нет</w:t>
            </w:r>
          </w:p>
        </w:tc>
      </w:tr>
      <w:tr>
        <w:tc>
          <w:tcPr/>
          <w:p>
            <w:pPr>
              <w:pStyle w:val="Compact"/>
              <w:jc w:val="left"/>
            </w:pPr>
            <w:r>
              <w:t xml:space="preserve">Категория</w:t>
            </w:r>
          </w:p>
        </w:tc>
        <w:tc>
          <w:tcPr/>
          <w:p>
            <w:pPr>
              <w:pStyle w:val="Compact"/>
              <w:jc w:val="left"/>
            </w:pPr>
            <w:r>
              <w:t xml:space="preserve">В3</w:t>
            </w:r>
          </w:p>
        </w:tc>
      </w:tr>
      <w:tr>
        <w:tc>
          <w:tcPr/>
          <w:p>
            <w:pPr>
              <w:pStyle w:val="Compact"/>
              <w:jc w:val="left"/>
            </w:pPr>
            <w:r>
              <w:t xml:space="preserve">Класс зоны по ПУЭ</w:t>
            </w:r>
          </w:p>
        </w:tc>
        <w:tc>
          <w:tcPr/>
          <w:p>
            <w:pPr>
              <w:pStyle w:val="Compact"/>
              <w:jc w:val="left"/>
            </w:pPr>
            <w:r>
              <w:t xml:space="preserve">В-Iа</w:t>
            </w:r>
          </w:p>
        </w:tc>
      </w:tr>
      <w:tr>
        <w:tc>
          <w:tcPr/>
          <w:p>
            <w:pPr>
              <w:pStyle w:val="Compact"/>
              <w:jc w:val="left"/>
            </w:pPr>
            <w:r>
              <w:t xml:space="preserve">Класс зоны по ФЗ №123</w:t>
            </w:r>
          </w:p>
        </w:tc>
        <w:tc>
          <w:tcPr/>
          <w:p>
            <w:pPr>
              <w:pStyle w:val="Compact"/>
              <w:jc w:val="left"/>
            </w:pPr>
            <w:r>
              <w:t xml:space="preserve">2</w:t>
            </w:r>
          </w:p>
        </w:tc>
      </w:tr>
    </w:tbl>
    <w:bookmarkStart w:id="49" w:name="участок-участок_05"/>
    <w:p>
      <w:pPr>
        <w:pStyle w:val="3"/>
      </w:pPr>
      <w:r>
        <w:t xml:space="preserve">Участок «Участок_05»</w:t>
      </w:r>
    </w:p>
    <w:tbl>
      <w:tblPr>
        <w:tblStyle w:val="Table"/>
        <w:tblW w:type="pct" w:w="5000"/>
        <w:tblLook w:firstRow="1" w:lastRow="0" w:firstColumn="0" w:lastColumn="0" w:noHBand="0" w:noVBand="0" w:val="0020"/>
      </w:tblPr>
      <w:tblGrid>
        <w:gridCol w:w="5544"/>
        <w:gridCol w:w="2376"/>
      </w:tblGrid>
      <w:tr>
        <w:trPr>
          <w:tblHeader w:val="true"/>
        </w:trPr>
        <w:tc>
          <w:tcPr/>
          <w:p>
            <w:pPr>
              <w:pStyle w:val="Compact"/>
              <w:jc w:val="left"/>
            </w:pPr>
            <w:r>
              <w:t xml:space="preserve">Площадь</w:t>
            </w:r>
          </w:p>
        </w:tc>
        <w:tc>
          <w:tcPr/>
          <w:p>
            <w:pPr>
              <w:pStyle w:val="Compact"/>
              <w:jc w:val="left"/>
            </w:pPr>
            <w:r>
              <w:t xml:space="preserve">30 м²</w:t>
            </w:r>
          </w:p>
        </w:tc>
      </w:tr>
      <w:tr>
        <w:tc>
          <w:tcPr/>
          <w:p>
            <w:pPr>
              <w:pStyle w:val="Compact"/>
              <w:jc w:val="left"/>
            </w:pPr>
            <w:r>
              <w:t xml:space="preserve">Высота</w:t>
            </w:r>
          </w:p>
        </w:tc>
        <w:tc>
          <w:tcPr/>
          <w:p>
            <w:pPr>
              <w:pStyle w:val="Compact"/>
              <w:jc w:val="left"/>
            </w:pPr>
            <w:r>
              <w:t xml:space="preserve">0 м</w:t>
            </w:r>
          </w:p>
        </w:tc>
      </w:tr>
    </w:tbl>
    <w:bookmarkStart w:id="46" w:name="жидкая-нагрузка_02"/>
    <w:p>
      <w:pPr>
        <w:pStyle w:val="4"/>
      </w:pPr>
      <w:r>
        <w:t xml:space="preserve">«Жидкая нагрузка_02»</w:t>
      </w:r>
    </w:p>
    <w:p>
      <w:pPr>
        <w:pStyle w:val="FirstParagraph"/>
      </w:pPr>
      <w:r>
        <w:t xml:space="preserve">Свойства горючей нагрузки:</w:t>
      </w:r>
    </w:p>
    <w:tbl>
      <w:tblPr>
        <w:tblStyle w:val="Table"/>
        <w:tblW w:type="pct" w:w="5000"/>
        <w:tblLook w:firstRow="1" w:lastRow="0" w:firstColumn="0" w:lastColumn="0" w:noHBand="0" w:noVBand="0" w:val="0020"/>
      </w:tblPr>
      <w:tblGrid>
        <w:gridCol w:w="5544"/>
        <w:gridCol w:w="2376"/>
      </w:tblGrid>
      <w:tr>
        <w:trPr>
          <w:tblHeader w:val="true"/>
        </w:trPr>
        <w:tc>
          <w:tcPr/>
          <w:p>
            <w:pPr>
              <w:pStyle w:val="Compact"/>
              <w:jc w:val="left"/>
            </w:pPr>
            <w:r>
              <w:t xml:space="preserve">Горючая нагрузка</w:t>
            </w:r>
          </w:p>
        </w:tc>
        <w:tc>
          <w:tcPr/>
          <w:p>
            <w:pPr>
              <w:pStyle w:val="Compact"/>
              <w:jc w:val="left"/>
            </w:pPr>
            <w:r>
              <w:t xml:space="preserve">Бензин АИ-93 (летний) (ГОСТ 2084-67)</w:t>
            </w:r>
          </w:p>
        </w:tc>
      </w:tr>
      <w:tr>
        <w:tc>
          <w:tcPr/>
          <w:p>
            <w:pPr>
              <w:pStyle w:val="Compact"/>
              <w:jc w:val="left"/>
            </w:pPr>
            <w:r>
              <w:t xml:space="preserve">Объём аварийного аппарата</w:t>
            </w:r>
          </w:p>
        </w:tc>
        <w:tc>
          <w:tcPr/>
          <w:p>
            <w:pPr>
              <w:pStyle w:val="Compact"/>
              <w:jc w:val="left"/>
            </w:pPr>
            <w:r>
              <w:t xml:space="preserve">0,01 м³</w:t>
            </w:r>
          </w:p>
        </w:tc>
      </w:tr>
      <w:tr>
        <w:tc>
          <w:tcPr/>
          <w:p>
            <w:pPr>
              <w:pStyle w:val="Compact"/>
              <w:jc w:val="left"/>
            </w:pPr>
            <w:r>
              <w:t xml:space="preserve">Общий объём горючего вещества во всех аппаратах (рассматривается при определении категории В1-В4)</w:t>
            </w:r>
          </w:p>
        </w:tc>
        <w:tc>
          <w:tcPr/>
          <w:p>
            <w:pPr>
              <w:pStyle w:val="Compact"/>
              <w:jc w:val="left"/>
            </w:pPr>
            <w:r>
              <w:t xml:space="preserve">0,01 м³</w:t>
            </w:r>
          </w:p>
        </w:tc>
      </w:tr>
      <w:tr>
        <w:tc>
          <w:tcPr/>
          <w:p>
            <w:pPr>
              <w:pStyle w:val="Compact"/>
              <w:jc w:val="left"/>
            </w:pPr>
            <w:r>
              <w:t xml:space="preserve">Температура жидкости</w:t>
            </w:r>
          </w:p>
        </w:tc>
        <w:tc>
          <w:tcPr/>
          <w:p>
            <w:pPr>
              <w:pStyle w:val="Compact"/>
              <w:jc w:val="left"/>
            </w:pPr>
            <w:r>
              <w:t xml:space="preserve">61 °C</w:t>
            </w:r>
          </w:p>
        </w:tc>
      </w:tr>
      <w:tr>
        <w:tc>
          <w:tcPr/>
          <w:p>
            <w:pPr>
              <w:pStyle w:val="Compact"/>
              <w:jc w:val="left"/>
            </w:pPr>
            <w:r>
              <w:t xml:space="preserve">Определение коэффициента Z</w:t>
            </w:r>
          </w:p>
        </w:tc>
        <w:tc>
          <w:tcPr/>
          <w:p>
            <w:pPr>
              <w:pStyle w:val="Compact"/>
              <w:jc w:val="left"/>
            </w:pPr>
            <w:r>
              <w:t xml:space="preserve">по приложению Д</w:t>
            </w:r>
          </w:p>
        </w:tc>
      </w:tr>
    </w:tbl>
    <w:p>
      <w:pPr>
        <w:pStyle w:val="a0"/>
      </w:pPr>
      <w:r>
        <w:rPr>
          <w:bCs/>
          <w:b/>
        </w:rPr>
        <w:t xml:space="preserve">Определение объёма жидкости, вышедшей из аппарата при аварии</w:t>
      </w:r>
    </w:p>
    <w:p>
      <w:pPr>
        <w:pStyle w:val="a0"/>
      </w:pPr>
      <w:r>
        <w:t xml:space="preserve">Происходит авария аппарата «Жидкая нагрузка_02». Все содержимое аппарата поступает в окружающее пространство.</w:t>
      </w:r>
    </w:p>
    <w:p>
      <w:pPr>
        <w:pStyle w:val="a0"/>
      </w:pPr>
      <w:r>
        <w:t xml:space="preserve">Объём жидкости, вышедшей из аппарата, равен объёму аппарата и составляет</w:t>
      </w:r>
      <w:r>
        <w:t xml:space="preserve"> </w:t>
      </w:r>
      <m:oMath>
        <m:r>
          <m:t>0</m:t>
        </m:r>
        <m:r>
          <m:rPr>
            <m:sty m:val="p"/>
          </m:rPr>
          <m:t>,</m:t>
        </m:r>
        <m:r>
          <m:t>01</m:t>
        </m:r>
        <m:r>
          <m:t> </m:t>
        </m:r>
        <m:r>
          <m:rPr>
            <m:nor/>
            <m:sty m:val="p"/>
          </m:rPr>
          <m:t>м³</m:t>
        </m:r>
      </m:oMath>
      <w:r>
        <w:t xml:space="preserve">.</w:t>
      </w:r>
    </w:p>
    <w:p>
      <w:pPr>
        <w:pStyle w:val="a0"/>
      </w:pPr>
      <w:r>
        <w:t xml:space="preserve">При плотности жидкости, равной</w:t>
      </w:r>
      <w:r>
        <w:t xml:space="preserve"> </w:t>
      </w:r>
      <m:oMath>
        <m:r>
          <m:t>745</m:t>
        </m:r>
        <m:r>
          <m:t> </m:t>
        </m:r>
        <m:r>
          <m:rPr>
            <m:nor/>
            <m:sty m:val="p"/>
          </m:rPr>
          <m:t>кг/м³</m:t>
        </m:r>
      </m:oMath>
      <w:r>
        <w:t xml:space="preserve">, масса жидкости, вышедшей из аварийного аппарата, составляет</w:t>
      </w:r>
      <w:r>
        <w:t xml:space="preserve"> </w:t>
      </w:r>
      <m:oMath>
        <m:r>
          <m:t>7</m:t>
        </m:r>
        <m:r>
          <m:rPr>
            <m:sty m:val="p"/>
          </m:rPr>
          <m:t>,</m:t>
        </m:r>
        <m:r>
          <m:t>45</m:t>
        </m:r>
        <m:r>
          <m:t> </m:t>
        </m:r>
        <m:r>
          <m:rPr>
            <m:nor/>
            <m:sty m:val="p"/>
          </m:rPr>
          <m:t>кг</m:t>
        </m:r>
      </m:oMath>
      <w:r>
        <w:t xml:space="preserve">.</w:t>
      </w:r>
    </w:p>
    <w:p>
      <w:pPr>
        <w:pStyle w:val="a0"/>
      </w:pPr>
      <w:r>
        <w:t xml:space="preserve">Площадь разлива жидкости при аварии составляет</w:t>
      </w:r>
      <w:r>
        <w:t xml:space="preserve"> </w:t>
      </w:r>
      <m:oMath>
        <m:r>
          <m:t>10</m:t>
        </m:r>
        <m:r>
          <m:t> </m:t>
        </m:r>
        <m:r>
          <m:rPr>
            <m:nor/>
            <m:sty m:val="p"/>
          </m:rPr>
          <m:t>м²</m:t>
        </m:r>
      </m:oMath>
      <w:r>
        <w:t xml:space="preserve">.</w:t>
      </w:r>
    </w:p>
    <w:p>
      <w:pPr>
        <w:pStyle w:val="a0"/>
      </w:pPr>
      <w:r>
        <w:rPr>
          <w:bCs/>
          <w:b/>
        </w:rPr>
        <w:t xml:space="preserve">Определение давления насыщенного пара жидкости</w:t>
      </w:r>
    </w:p>
    <w:p>
      <w:pPr>
        <w:pStyle w:val="a0"/>
      </w:pPr>
      <w:r>
        <w:t xml:space="preserve">Давление насыщенного пара жидкости определено по формуле Антуана:</w:t>
      </w:r>
    </w:p>
    <w:p>
      <w:pPr>
        <w:pStyle w:val="a0"/>
      </w:pPr>
      <m:oMathPara>
        <m:oMathParaPr>
          <m:jc m:val="center"/>
        </m:oMathParaPr>
        <m:oMath>
          <m:sSub>
            <m:e>
              <m:r>
                <m:t>P</m:t>
              </m:r>
            </m:e>
            <m:sub>
              <m:r>
                <m:t>н</m:t>
              </m:r>
            </m:sub>
          </m:sSub>
          <m:r>
            <m:rPr>
              <m:sty m:val="p"/>
            </m:rPr>
            <m:t>=</m:t>
          </m:r>
          <m:sSup>
            <m:e>
              <m:r>
                <m:t>10</m:t>
              </m:r>
            </m:e>
            <m:sup>
              <m:r>
                <m:t>A</m:t>
              </m:r>
              <m:r>
                <m:rPr>
                  <m:sty m:val="p"/>
                </m:rPr>
                <m:t>−</m:t>
              </m:r>
              <m:r>
                <m:t>B</m:t>
              </m:r>
              <m:r>
                <m:rPr>
                  <m:sty m:val="p"/>
                </m:rPr>
                <m:t>/</m:t>
              </m:r>
              <m:d>
                <m:dPr>
                  <m:begChr m:val="("/>
                  <m:endChr m:val=")"/>
                  <m:sepChr m:val=""/>
                  <m:grow/>
                </m:dPr>
                <m:e>
                  <m:r>
                    <m:t>t</m:t>
                  </m:r>
                  <m:r>
                    <m:rPr>
                      <m:sty m:val="p"/>
                    </m:rPr>
                    <m:t>+</m:t>
                  </m:r>
                  <m:sSub>
                    <m:e>
                      <m:r>
                        <m:t>C</m:t>
                      </m:r>
                    </m:e>
                    <m:sub>
                      <m:r>
                        <m:t>a</m:t>
                      </m:r>
                    </m:sub>
                  </m:sSub>
                </m:e>
              </m:d>
            </m:sup>
          </m:sSup>
          <m:r>
            <m:rPr>
              <m:sty m:val="p"/>
            </m:rPr>
            <m:t>=</m:t>
          </m:r>
          <m:r>
            <m:t>58</m:t>
          </m:r>
          <m:r>
            <m:rPr>
              <m:sty m:val="p"/>
            </m:rPr>
            <m:t>,</m:t>
          </m:r>
          <m:r>
            <m:t>998</m:t>
          </m:r>
          <m:r>
            <m:t> </m:t>
          </m:r>
          <m:r>
            <m:rPr>
              <m:nor/>
              <m:sty m:val="p"/>
            </m:rPr>
            <m:t>кПа</m:t>
          </m:r>
          <m:r>
            <m:rPr>
              <m:sty m:val="p"/>
            </m:rPr>
            <m:t>,</m:t>
          </m:r>
        </m:oMath>
      </m:oMathPara>
    </w:p>
    <w:p>
      <w:pPr>
        <w:pStyle w:val="FirstParagraph"/>
      </w:pPr>
      <w:r>
        <w:t xml:space="preserve">где:</w:t>
      </w:r>
    </w:p>
    <w:tbl>
      <w:tblPr>
        <w:tblStyle w:val="Table"/>
        <w:tblW w:type="pct" w:w="5000"/>
        <w:tblLook w:firstRow="1" w:lastRow="0" w:firstColumn="0" w:lastColumn="0" w:noHBand="0" w:noVBand="0" w:val="0020"/>
      </w:tblPr>
      <w:tblGrid>
        <w:gridCol w:w="792"/>
        <w:gridCol w:w="5544"/>
        <w:gridCol w:w="1584"/>
      </w:tblGrid>
      <w:tr>
        <w:trPr>
          <w:tblHeader w:val="true"/>
        </w:trPr>
        <w:tc>
          <w:tcPr/>
          <w:p>
            <w:pPr>
              <w:pStyle w:val="Compact"/>
              <w:jc w:val="left"/>
            </w:pPr>
            <m:oMath>
              <m:r>
                <m:t>A</m:t>
              </m:r>
              <m:r>
                <m:rPr>
                  <m:sty m:val="p"/>
                </m:rPr>
                <m:t>−</m:t>
              </m:r>
            </m:oMath>
          </w:p>
        </w:tc>
        <w:tc>
          <w:tcPr/>
          <w:p>
            <w:pPr>
              <w:pStyle w:val="Compact"/>
              <w:jc w:val="left"/>
            </w:pPr>
            <w:r>
              <w:t xml:space="preserve">константа Антуана</w:t>
            </w:r>
          </w:p>
        </w:tc>
        <w:tc>
          <w:tcPr/>
          <w:p>
            <w:pPr>
              <w:pStyle w:val="Compact"/>
              <w:jc w:val="left"/>
            </w:pPr>
            <m:oMath>
              <m:r>
                <m:t>4</m:t>
              </m:r>
              <m:r>
                <m:rPr>
                  <m:sty m:val="p"/>
                </m:rPr>
                <m:t>,</m:t>
              </m:r>
              <m:r>
                <m:t>12311</m:t>
              </m:r>
            </m:oMath>
          </w:p>
        </w:tc>
      </w:tr>
      <w:tr>
        <w:tc>
          <w:tcPr/>
          <w:p>
            <w:pPr>
              <w:pStyle w:val="Compact"/>
              <w:jc w:val="left"/>
            </w:pPr>
            <m:oMath>
              <m:r>
                <m:t>B</m:t>
              </m:r>
              <m:r>
                <m:rPr>
                  <m:sty m:val="p"/>
                </m:rPr>
                <m:t>−</m:t>
              </m:r>
            </m:oMath>
          </w:p>
        </w:tc>
        <w:tc>
          <w:tcPr/>
          <w:p>
            <w:pPr>
              <w:pStyle w:val="Compact"/>
              <w:jc w:val="left"/>
            </w:pPr>
            <w:r>
              <w:t xml:space="preserve">константа Антуана</w:t>
            </w:r>
          </w:p>
        </w:tc>
        <w:tc>
          <w:tcPr/>
          <w:p>
            <w:pPr>
              <w:pStyle w:val="Compact"/>
              <w:jc w:val="left"/>
            </w:pPr>
            <m:oMath>
              <m:r>
                <m:t>664</m:t>
              </m:r>
              <m:r>
                <m:rPr>
                  <m:sty m:val="p"/>
                </m:rPr>
                <m:t>,</m:t>
              </m:r>
              <m:r>
                <m:t>976</m:t>
              </m:r>
            </m:oMath>
          </w:p>
        </w:tc>
      </w:tr>
      <w:tr>
        <w:tc>
          <w:tcPr/>
          <w:p>
            <w:pPr>
              <w:pStyle w:val="Compact"/>
              <w:jc w:val="left"/>
            </w:pPr>
            <m:oMath>
              <m:sSub>
                <m:e>
                  <m:r>
                    <m:t>C</m:t>
                  </m:r>
                </m:e>
                <m:sub>
                  <m:r>
                    <m:t>a</m:t>
                  </m:r>
                </m:sub>
              </m:sSub>
              <m:r>
                <m:rPr>
                  <m:sty m:val="p"/>
                </m:rPr>
                <m:t>−</m:t>
              </m:r>
            </m:oMath>
          </w:p>
        </w:tc>
        <w:tc>
          <w:tcPr/>
          <w:p>
            <w:pPr>
              <w:pStyle w:val="Compact"/>
              <w:jc w:val="left"/>
            </w:pPr>
            <w:r>
              <w:t xml:space="preserve">константа Антуана</w:t>
            </w:r>
          </w:p>
        </w:tc>
        <w:tc>
          <w:tcPr/>
          <w:p>
            <w:pPr>
              <w:pStyle w:val="Compact"/>
              <w:jc w:val="left"/>
            </w:pPr>
            <m:oMath>
              <m:r>
                <m:t>221</m:t>
              </m:r>
              <m:r>
                <m:rPr>
                  <m:sty m:val="p"/>
                </m:rPr>
                <m:t>,</m:t>
              </m:r>
              <m:r>
                <m:t>695</m:t>
              </m:r>
            </m:oMath>
          </w:p>
        </w:tc>
      </w:tr>
      <w:tr>
        <w:tc>
          <w:tcPr/>
          <w:p>
            <w:pPr>
              <w:pStyle w:val="Compact"/>
              <w:jc w:val="left"/>
            </w:pPr>
            <m:oMath>
              <m:r>
                <m:t>t</m:t>
              </m:r>
              <m:r>
                <m:rPr>
                  <m:sty m:val="p"/>
                </m:rPr>
                <m:t>−</m:t>
              </m:r>
            </m:oMath>
          </w:p>
        </w:tc>
        <w:tc>
          <w:tcPr/>
          <w:p>
            <w:pPr>
              <w:pStyle w:val="Compact"/>
              <w:jc w:val="left"/>
            </w:pPr>
            <w:r>
              <w:t xml:space="preserve">расчётная температура жидкости</w:t>
            </w:r>
          </w:p>
        </w:tc>
        <w:tc>
          <w:tcPr/>
          <w:p>
            <w:pPr>
              <w:pStyle w:val="Compact"/>
              <w:jc w:val="left"/>
            </w:pPr>
            <m:oMath>
              <m:r>
                <m:t>61</m:t>
              </m:r>
            </m:oMath>
            <w:r>
              <w:t xml:space="preserve"> °C</w:t>
            </w:r>
          </w:p>
        </w:tc>
      </w:tr>
    </w:tbl>
    <w:p>
      <w:pPr>
        <w:pStyle w:val="a0"/>
      </w:pPr>
      <w:r>
        <w:rPr>
          <w:bCs/>
          <w:b/>
        </w:rPr>
        <w:t xml:space="preserve">Расчёт массы паров жидкости</w:t>
      </w:r>
    </w:p>
    <w:p>
      <w:pPr>
        <w:pStyle w:val="a0"/>
      </w:pPr>
      <w:r>
        <w:t xml:space="preserve">Поскольку температура жидкости (</w:t>
      </w:r>
      <m:oMath>
        <m:r>
          <m:t>61</m:t>
        </m:r>
        <m:r>
          <m:t> </m:t>
        </m:r>
        <m:r>
          <m:rPr>
            <m:nor/>
            <m:sty m:val="p"/>
          </m:rPr>
          <m:t>°C</m:t>
        </m:r>
      </m:oMath>
      <w:r>
        <w:t xml:space="preserve">) не превышает температуру окружающей среды (</w:t>
      </w:r>
      <m:oMath>
        <m:r>
          <m:t>61</m:t>
        </m:r>
        <m:r>
          <m:t> </m:t>
        </m:r>
        <m:r>
          <m:rPr>
            <m:nor/>
            <m:sty m:val="p"/>
          </m:rPr>
          <m:t>°C</m:t>
        </m:r>
      </m:oMath>
      <w:r>
        <w:t xml:space="preserve">), то, согласно формулам (А.11), (А.12) и (А.13), расчёт массы паров жидкости выполняется следующим образом:</w:t>
      </w:r>
    </w:p>
    <w:p>
      <w:pPr>
        <w:pStyle w:val="a0"/>
      </w:pPr>
      <m:oMathPara>
        <m:oMathParaPr>
          <m:jc m:val="center"/>
        </m:oMathParaPr>
        <m:oMath>
          <m:r>
            <m:t>m</m:t>
          </m:r>
          <m:r>
            <m:rPr>
              <m:sty m:val="p"/>
            </m:rPr>
            <m:t>=</m:t>
          </m:r>
          <m:sSub>
            <m:e>
              <m:r>
                <m:t>m</m:t>
              </m:r>
            </m:e>
            <m:sub>
              <m:r>
                <m:t>р</m:t>
              </m:r>
            </m:sub>
          </m:sSub>
          <m:r>
            <m:rPr>
              <m:sty m:val="p"/>
            </m:rPr>
            <m:t>+</m:t>
          </m:r>
          <m:sSub>
            <m:e>
              <m:r>
                <m:t>m</m:t>
              </m:r>
            </m:e>
            <m:sub>
              <m:r>
                <m:t>е</m:t>
              </m:r>
              <m:r>
                <m:t>м</m:t>
              </m:r>
              <m:r>
                <m:t>к</m:t>
              </m:r>
            </m:sub>
          </m:sSub>
          <m:r>
            <m:rPr>
              <m:sty m:val="p"/>
            </m:rPr>
            <m:t>+</m:t>
          </m:r>
          <m:sSub>
            <m:e>
              <m:r>
                <m:t>m</m:t>
              </m:r>
            </m:e>
            <m:sub>
              <m:r>
                <m:t>с</m:t>
              </m:r>
              <m:r>
                <m:t>в</m:t>
              </m:r>
              <m:r>
                <m:rPr>
                  <m:sty m:val="p"/>
                </m:rPr>
                <m:t>.</m:t>
              </m:r>
              <m:r>
                <m:t>о</m:t>
              </m:r>
              <m:r>
                <m:t>к</m:t>
              </m:r>
              <m:r>
                <m:t>р</m:t>
              </m:r>
              <m:r>
                <m:rPr>
                  <m:sty m:val="p"/>
                </m:rPr>
                <m:t>.</m:t>
              </m:r>
            </m:sub>
          </m:sSub>
          <m:r>
            <m:rPr>
              <m:sty m:val="p"/>
            </m:rPr>
            <m:t>,</m:t>
          </m:r>
        </m:oMath>
      </m:oMathPara>
    </w:p>
    <w:p>
      <w:pPr>
        <w:pStyle w:val="FirstParagraph"/>
      </w:pPr>
      <w:r>
        <w:t xml:space="preserve">где:</w:t>
      </w:r>
      <w:r>
        <w:t xml:space="preserve"> </w:t>
      </w:r>
      <m:oMath>
        <m:sSub>
          <m:e>
            <m:r>
              <m:t>m</m:t>
            </m:r>
          </m:e>
          <m:sub>
            <m:r>
              <m:t>р</m:t>
            </m:r>
          </m:sub>
        </m:sSub>
      </m:oMath>
      <w:r>
        <w:t xml:space="preserve"> </w:t>
      </w:r>
      <w:r>
        <w:t xml:space="preserve">— масса жидкости, испарившейся с поверхности разлива, кг;</w:t>
      </w:r>
      <w:r>
        <w:t xml:space="preserve"> </w:t>
      </w:r>
      <m:oMath>
        <m:sSub>
          <m:e>
            <m:r>
              <m:t>m</m:t>
            </m:r>
          </m:e>
          <m:sub>
            <m:r>
              <m:t>е</m:t>
            </m:r>
            <m:r>
              <m:t>м</m:t>
            </m:r>
            <m:r>
              <m:t>к</m:t>
            </m:r>
          </m:sub>
        </m:sSub>
      </m:oMath>
      <w:r>
        <w:t xml:space="preserve"> </w:t>
      </w:r>
      <w:r>
        <w:t xml:space="preserve">— масса жидкости, испарившейся с поверхностей открытых ёмкостей, кг;</w:t>
      </w:r>
      <w:r>
        <w:t xml:space="preserve"> </w:t>
      </w:r>
      <m:oMath>
        <m:sSub>
          <m:e>
            <m:r>
              <m:t>m</m:t>
            </m:r>
          </m:e>
          <m:sub>
            <m:r>
              <m:t>с</m:t>
            </m:r>
            <m:r>
              <m:t>в</m:t>
            </m:r>
            <m:r>
              <m:rPr>
                <m:sty m:val="p"/>
              </m:rPr>
              <m:t>.</m:t>
            </m:r>
            <m:r>
              <m:t>о</m:t>
            </m:r>
            <m:r>
              <m:t>к</m:t>
            </m:r>
            <m:r>
              <m:t>р</m:t>
            </m:r>
            <m:r>
              <m:rPr>
                <m:sty m:val="p"/>
              </m:rPr>
              <m:t>.</m:t>
            </m:r>
          </m:sub>
        </m:sSub>
      </m:oMath>
      <w:r>
        <w:t xml:space="preserve"> </w:t>
      </w:r>
      <w:r>
        <w:t xml:space="preserve">— масса жидкости, испарившейся с поверхностей, на которые нанесен применяемый состав, кг.</w:t>
      </w:r>
    </w:p>
    <w:p>
      <w:pPr>
        <w:pStyle w:val="a0"/>
      </w:pPr>
      <w:r>
        <w:t xml:space="preserve">При этом каждое из слагаемых определяется по формуле:</w:t>
      </w:r>
    </w:p>
    <w:p>
      <w:pPr>
        <w:pStyle w:val="a0"/>
      </w:pPr>
      <m:oMathPara>
        <m:oMathParaPr>
          <m:jc m:val="center"/>
        </m:oMathParaPr>
        <m:oMath>
          <m:r>
            <m:t>m</m:t>
          </m:r>
          <m:r>
            <m:rPr>
              <m:sty m:val="p"/>
            </m:rPr>
            <m:t>=</m:t>
          </m:r>
          <m:r>
            <m:t>W</m:t>
          </m:r>
          <m:sSub>
            <m:e>
              <m:r>
                <m:t>F</m:t>
              </m:r>
            </m:e>
            <m:sub>
              <m:r>
                <m:t>и</m:t>
              </m:r>
            </m:sub>
          </m:sSub>
          <m:r>
            <m:t>T</m:t>
          </m:r>
          <m:r>
            <m:rPr>
              <m:sty m:val="p"/>
            </m:rPr>
            <m:t>,</m:t>
          </m:r>
        </m:oMath>
      </m:oMathPara>
    </w:p>
    <w:p>
      <w:pPr>
        <w:pStyle w:val="FirstParagraph"/>
      </w:pPr>
      <w:r>
        <w:t xml:space="preserve">где</w:t>
      </w:r>
      <w:r>
        <w:t xml:space="preserve"> </w:t>
      </w:r>
      <m:oMath>
        <m:r>
          <m:t>W</m:t>
        </m:r>
      </m:oMath>
      <w:r>
        <w:t xml:space="preserve"> </w:t>
      </w:r>
      <w:r>
        <w:t xml:space="preserve">— интенсивность испарения, определяемая по формуле:</w:t>
      </w:r>
    </w:p>
    <w:p>
      <w:pPr>
        <w:pStyle w:val="a0"/>
      </w:pPr>
      <m:oMathPara>
        <m:oMathParaPr>
          <m:jc m:val="center"/>
        </m:oMathParaPr>
        <m:oMath>
          <m:r>
            <m:t>W</m:t>
          </m:r>
          <m:r>
            <m:rPr>
              <m:sty m:val="p"/>
            </m:rPr>
            <m:t>=</m:t>
          </m:r>
          <m:sSup>
            <m:e>
              <m:r>
                <m:t>10</m:t>
              </m:r>
            </m:e>
            <m:sup>
              <m:r>
                <m:rPr>
                  <m:sty m:val="p"/>
                </m:rPr>
                <m:t>−</m:t>
              </m:r>
              <m:r>
                <m:t>6</m:t>
              </m:r>
            </m:sup>
          </m:sSup>
          <m:r>
            <m:rPr>
              <m:sty m:val="p"/>
            </m:rPr>
            <m:t>⋅</m:t>
          </m:r>
          <m:r>
            <m:t>η</m:t>
          </m:r>
          <m:rad>
            <m:radPr>
              <m:degHide m:val="1"/>
            </m:radPr>
            <m:deg/>
            <m:e>
              <m:r>
                <m:t>M</m:t>
              </m:r>
            </m:e>
          </m:rad>
          <m:r>
            <m:rPr>
              <m:sty m:val="p"/>
            </m:rPr>
            <m:t>⋅</m:t>
          </m:r>
          <m:sSub>
            <m:e>
              <m:r>
                <m:t>P</m:t>
              </m:r>
            </m:e>
            <m:sub>
              <m:r>
                <m:t>н</m:t>
              </m:r>
            </m:sub>
          </m:sSub>
          <m:r>
            <m:rPr>
              <m:sty m:val="p"/>
            </m:rPr>
            <m:t>=</m:t>
          </m:r>
          <m:r>
            <m:t>0</m:t>
          </m:r>
          <m:r>
            <m:rPr>
              <m:sty m:val="p"/>
            </m:rPr>
            <m:t>,</m:t>
          </m:r>
          <m:r>
            <m:t>00058464</m:t>
          </m:r>
          <m:r>
            <m:t> </m:t>
          </m:r>
          <m:r>
            <m:rPr>
              <m:nor/>
              <m:sty m:val="p"/>
            </m:rPr>
            <m:t>кг/(с·м²)</m:t>
          </m:r>
          <m:r>
            <m:rPr>
              <m:sty m:val="p"/>
            </m:rPr>
            <m:t>,</m:t>
          </m:r>
        </m:oMath>
      </m:oMathPara>
    </w:p>
    <w:p>
      <w:pPr>
        <w:pStyle w:val="FirstParagraph"/>
      </w:pPr>
      <w:r>
        <w:t xml:space="preserve">где:</w:t>
      </w:r>
    </w:p>
    <w:tbl>
      <w:tblPr>
        <w:tblStyle w:val="Table"/>
        <w:tblW w:type="pct" w:w="5000"/>
        <w:tblLook w:firstRow="1" w:lastRow="0" w:firstColumn="0" w:lastColumn="0" w:noHBand="0" w:noVBand="0" w:val="0020"/>
      </w:tblPr>
      <w:tblGrid>
        <w:gridCol w:w="792"/>
        <w:gridCol w:w="5544"/>
        <w:gridCol w:w="1584"/>
      </w:tblGrid>
      <w:tr>
        <w:trPr>
          <w:tblHeader w:val="true"/>
        </w:trPr>
        <w:tc>
          <w:tcPr/>
          <w:p>
            <w:pPr>
              <w:pStyle w:val="Compact"/>
              <w:jc w:val="left"/>
            </w:pPr>
            <m:oMath>
              <m:r>
                <m:t>η</m:t>
              </m:r>
            </m:oMath>
            <w:r>
              <w:t xml:space="preserve"> –</w:t>
            </w:r>
          </w:p>
        </w:tc>
        <w:tc>
          <w:tcPr/>
          <w:p>
            <w:pPr>
              <w:pStyle w:val="Compact"/>
              <w:jc w:val="left"/>
            </w:pPr>
            <w:r>
              <w:t xml:space="preserve">коэффициент, принимаемый по таблице А.2 СП 12.13130.2009 в зависимости от скорости (</w:t>
            </w:r>
            <m:oMath>
              <m:r>
                <m:t>0</m:t>
              </m:r>
              <m:r>
                <m:t> </m:t>
              </m:r>
              <m:r>
                <m:rPr>
                  <m:nor/>
                  <m:sty m:val="p"/>
                </m:rPr>
                <m:t>м/с</m:t>
              </m:r>
            </m:oMath>
            <w:r>
              <w:t xml:space="preserve">) и температуры (</w:t>
            </w:r>
            <m:oMath>
              <m:r>
                <m:t>61</m:t>
              </m:r>
              <m:r>
                <m:t> </m:t>
              </m:r>
              <m:r>
                <m:rPr>
                  <m:nor/>
                  <m:sty m:val="p"/>
                </m:rPr>
                <m:t>°C</m:t>
              </m:r>
            </m:oMath>
            <w:r>
              <w:t xml:space="preserve">) воздушного потока над поверхностью испарения</w:t>
            </w:r>
          </w:p>
        </w:tc>
        <w:tc>
          <w:tcPr/>
          <w:p>
            <w:pPr>
              <w:pStyle w:val="Compact"/>
              <w:jc w:val="left"/>
            </w:pPr>
            <m:oMath>
              <m:r>
                <m:t>1</m:t>
              </m:r>
            </m:oMath>
          </w:p>
        </w:tc>
      </w:tr>
      <w:tr>
        <w:tc>
          <w:tcPr/>
          <w:p>
            <w:pPr>
              <w:pStyle w:val="Compact"/>
              <w:jc w:val="left"/>
            </w:pPr>
            <m:oMath>
              <m:r>
                <m:t>M</m:t>
              </m:r>
            </m:oMath>
            <w:r>
              <w:t xml:space="preserve"> –</w:t>
            </w:r>
          </w:p>
        </w:tc>
        <w:tc>
          <w:tcPr/>
          <w:p>
            <w:pPr>
              <w:pStyle w:val="Compact"/>
              <w:jc w:val="left"/>
            </w:pPr>
            <w:r>
              <w:t xml:space="preserve">молярная масса жидкости</w:t>
            </w:r>
          </w:p>
        </w:tc>
        <w:tc>
          <w:tcPr/>
          <w:p>
            <w:pPr>
              <w:pStyle w:val="Compact"/>
              <w:jc w:val="left"/>
            </w:pPr>
            <m:oMath>
              <m:r>
                <m:t>98</m:t>
              </m:r>
              <m:r>
                <m:rPr>
                  <m:sty m:val="p"/>
                </m:rPr>
                <m:t>,</m:t>
              </m:r>
              <m:r>
                <m:t>2</m:t>
              </m:r>
              <m:r>
                <m:t> </m:t>
              </m:r>
              <m:r>
                <m:rPr>
                  <m:nor/>
                  <m:sty m:val="p"/>
                </m:rPr>
                <m:t>кг/кмоль</m:t>
              </m:r>
            </m:oMath>
          </w:p>
        </w:tc>
      </w:tr>
      <w:tr>
        <w:tc>
          <w:tcPr/>
          <w:p>
            <w:pPr>
              <w:pStyle w:val="Compact"/>
              <w:jc w:val="left"/>
            </w:pPr>
            <m:oMath>
              <m:sSub>
                <m:e>
                  <m:r>
                    <m:t>P</m:t>
                  </m:r>
                </m:e>
                <m:sub>
                  <m:r>
                    <m:t>н</m:t>
                  </m:r>
                </m:sub>
              </m:sSub>
            </m:oMath>
            <w:r>
              <w:t xml:space="preserve"> –</w:t>
            </w:r>
          </w:p>
        </w:tc>
        <w:tc>
          <w:tcPr/>
          <w:p>
            <w:pPr>
              <w:pStyle w:val="Compact"/>
              <w:jc w:val="left"/>
            </w:pPr>
            <w:r>
              <w:t xml:space="preserve">давление насыщенного пара при расчётной температуре жидкости</w:t>
            </w:r>
          </w:p>
        </w:tc>
        <w:tc>
          <w:tcPr/>
          <w:p>
            <w:pPr>
              <w:pStyle w:val="Compact"/>
              <w:jc w:val="left"/>
            </w:pPr>
            <m:oMath>
              <m:r>
                <m:t>58</m:t>
              </m:r>
              <m:r>
                <m:rPr>
                  <m:sty m:val="p"/>
                </m:rPr>
                <m:t>,</m:t>
              </m:r>
              <m:r>
                <m:t>998</m:t>
              </m:r>
              <m:r>
                <m:t> </m:t>
              </m:r>
              <m:r>
                <m:rPr>
                  <m:nor/>
                  <m:sty m:val="p"/>
                </m:rPr>
                <m:t>кПа</m:t>
              </m:r>
            </m:oMath>
          </w:p>
        </w:tc>
      </w:tr>
    </w:tbl>
    <w:p>
      <w:pPr>
        <w:pStyle w:val="a0"/>
      </w:pPr>
      <w:r>
        <w:t xml:space="preserve">Скорость воздушного потока в помещении принимается равной нулю.</w:t>
      </w:r>
    </w:p>
    <w:p>
      <w:pPr>
        <w:pStyle w:val="a0"/>
      </w:pPr>
      <m:oMath>
        <m:sSub>
          <m:e>
            <m:r>
              <m:t>F</m:t>
            </m:r>
          </m:e>
          <m:sub>
            <m:r>
              <m:t>и</m:t>
            </m:r>
          </m:sub>
        </m:sSub>
      </m:oMath>
      <w:r>
        <w:t xml:space="preserve"> </w:t>
      </w:r>
      <w:r>
        <w:t xml:space="preserve">— площадь испарения, м²; T — время испарения, с — приведены в таблице:</w:t>
      </w:r>
    </w:p>
    <w:tbl>
      <w:tblPr>
        <w:tblStyle w:val="Table"/>
        <w:tblW w:type="pct" w:w="5000"/>
        <w:tblLook w:firstRow="1" w:lastRow="0" w:firstColumn="0" w:lastColumn="0" w:noHBand="0" w:noVBand="0" w:val="0020"/>
      </w:tblPr>
      <w:tblGrid>
        <w:gridCol w:w="1980"/>
        <w:gridCol w:w="1584"/>
        <w:gridCol w:w="2376"/>
        <w:gridCol w:w="1980"/>
      </w:tblGrid>
      <w:tr>
        <w:trPr>
          <w:tblHeader w:val="true"/>
        </w:trPr>
        <w:tc>
          <w:tcPr/>
          <w:p>
            <w:pPr>
              <w:pStyle w:val="Compact"/>
              <w:jc w:val="left"/>
            </w:pPr>
            <w:r>
              <w:t xml:space="preserve">Источники испарения</w:t>
            </w:r>
          </w:p>
        </w:tc>
        <w:tc>
          <w:tcPr/>
          <w:p>
            <w:pPr>
              <w:pStyle w:val="Compact"/>
              <w:jc w:val="left"/>
            </w:pPr>
            <w:r>
              <w:t xml:space="preserve">Площадь, м²</w:t>
            </w:r>
          </w:p>
        </w:tc>
        <w:tc>
          <w:tcPr/>
          <w:p>
            <w:pPr>
              <w:pStyle w:val="Compact"/>
              <w:jc w:val="left"/>
            </w:pPr>
            <w:r>
              <w:t xml:space="preserve">Продолжительность испарения, с</w:t>
            </w:r>
          </w:p>
        </w:tc>
        <w:tc>
          <w:tcPr/>
          <w:p>
            <w:pPr>
              <w:pStyle w:val="Compact"/>
              <w:jc w:val="left"/>
            </w:pPr>
            <w:r>
              <w:t xml:space="preserve">Масса паров жидкости, кг</w:t>
            </w:r>
          </w:p>
        </w:tc>
      </w:tr>
      <w:tr>
        <w:tc>
          <w:tcPr/>
          <w:p>
            <w:pPr>
              <w:pStyle w:val="Compact"/>
              <w:jc w:val="left"/>
            </w:pPr>
            <w:r>
              <w:t xml:space="preserve">Поверхность разлива</w:t>
            </w:r>
          </w:p>
        </w:tc>
        <w:tc>
          <w:tcPr/>
          <w:p>
            <w:pPr>
              <w:pStyle w:val="Compact"/>
              <w:jc w:val="left"/>
            </w:pPr>
            <m:oMath>
              <m:r>
                <m:t>10</m:t>
              </m:r>
              <m:r>
                <m:t> </m:t>
              </m:r>
              <m:r>
                <m:rPr>
                  <m:nor/>
                  <m:sty m:val="p"/>
                </m:rPr>
                <m:t>м²</m:t>
              </m:r>
            </m:oMath>
          </w:p>
        </w:tc>
        <w:tc>
          <w:tcPr/>
          <w:p>
            <w:pPr>
              <w:pStyle w:val="Compact"/>
              <w:jc w:val="left"/>
            </w:pPr>
            <m:oMath>
              <m:r>
                <m:t>1274</m:t>
              </m:r>
              <m:r>
                <m:rPr>
                  <m:sty m:val="p"/>
                </m:rPr>
                <m:t>,</m:t>
              </m:r>
              <m:r>
                <m:t>3</m:t>
              </m:r>
              <m:r>
                <m:t> </m:t>
              </m:r>
              <m:r>
                <m:rPr>
                  <m:nor/>
                  <m:sty m:val="p"/>
                </m:rPr>
                <m:t>с</m:t>
              </m:r>
            </m:oMath>
          </w:p>
        </w:tc>
        <w:tc>
          <w:tcPr/>
          <w:p>
            <w:pPr>
              <w:pStyle w:val="Compact"/>
              <w:jc w:val="left"/>
            </w:pPr>
            <m:oMath>
              <m:r>
                <m:t>7</m:t>
              </m:r>
              <m:r>
                <m:rPr>
                  <m:sty m:val="p"/>
                </m:rPr>
                <m:t>,</m:t>
              </m:r>
              <m:r>
                <m:t>45</m:t>
              </m:r>
              <m:r>
                <m:t> </m:t>
              </m:r>
              <m:r>
                <m:rPr>
                  <m:nor/>
                  <m:sty m:val="p"/>
                </m:rPr>
                <m:t>кг</m:t>
              </m:r>
            </m:oMath>
          </w:p>
        </w:tc>
      </w:tr>
    </w:tbl>
    <w:p>
      <w:pPr>
        <w:pStyle w:val="a0"/>
      </w:pPr>
      <w:r>
        <w:t xml:space="preserve">Итого: масса паров жидкости составляет</w:t>
      </w:r>
      <w:r>
        <w:t xml:space="preserve"> </w:t>
      </w:r>
      <m:oMath>
        <m:r>
          <m:t>7</m:t>
        </m:r>
        <m:r>
          <m:rPr>
            <m:sty m:val="p"/>
          </m:rPr>
          <m:t>,</m:t>
        </m:r>
        <m:r>
          <m:t>45</m:t>
        </m:r>
        <m:r>
          <m:t> </m:t>
        </m:r>
        <m:r>
          <m:rPr>
            <m:nor/>
            <m:sty m:val="p"/>
          </m:rPr>
          <m:t>кг</m:t>
        </m:r>
      </m:oMath>
      <w:r>
        <w:t xml:space="preserve">.</w:t>
      </w:r>
    </w:p>
    <w:p>
      <w:pPr>
        <w:pStyle w:val="a0"/>
      </w:pPr>
      <w:r>
        <w:rPr>
          <w:bCs/>
          <w:b/>
        </w:rPr>
        <w:t xml:space="preserve">Расчёт коэффициента Z участия в горении паров жидкости</w:t>
      </w:r>
    </w:p>
    <w:p>
      <w:pPr>
        <w:pStyle w:val="a0"/>
      </w:pPr>
      <w:r>
        <w:t xml:space="preserve">Жидкость нагрета до температуры вспышки или выше.</w:t>
      </w:r>
    </w:p>
    <w:p>
      <w:pPr>
        <w:pStyle w:val="a0"/>
      </w:pPr>
      <w:r>
        <w:t xml:space="preserve">Проверка условия Д.1:</w:t>
      </w:r>
    </w:p>
    <w:p>
      <w:pPr>
        <w:pStyle w:val="a0"/>
      </w:pPr>
      <m:oMathPara>
        <m:oMathParaPr>
          <m:jc m:val="center"/>
        </m:oMathParaPr>
        <m:oMath>
          <m:f>
            <m:fPr>
              <m:type m:val="bar"/>
            </m:fPr>
            <m:num>
              <m:r>
                <m:t>100</m:t>
              </m:r>
              <m:r>
                <m:t>m</m:t>
              </m:r>
            </m:num>
            <m:den>
              <m:sSub>
                <m:e>
                  <m:r>
                    <m:t>ρ</m:t>
                  </m:r>
                </m:e>
                <m:sub>
                  <m:r>
                    <m:t>п</m:t>
                  </m:r>
                </m:sub>
              </m:sSub>
              <m:sSub>
                <m:e>
                  <m:r>
                    <m:t>V</m:t>
                  </m:r>
                </m:e>
                <m:sub>
                  <m:r>
                    <m:t>с</m:t>
                  </m:r>
                  <m:r>
                    <m:t>в</m:t>
                  </m:r>
                </m:sub>
              </m:sSub>
            </m:den>
          </m:f>
          <m:r>
            <m:rPr>
              <m:sty m:val="p"/>
            </m:rPr>
            <m:t>&lt;</m:t>
          </m:r>
          <m:r>
            <m:t>0</m:t>
          </m:r>
          <m:r>
            <m:rPr>
              <m:sty m:val="p"/>
            </m:rPr>
            <m:t>,</m:t>
          </m:r>
          <m:r>
            <m:t>5</m:t>
          </m:r>
          <m:sSub>
            <m:e>
              <m:r>
                <m:t>C</m:t>
              </m:r>
            </m:e>
            <m:sub>
              <m:r>
                <m:t>Н</m:t>
              </m:r>
              <m:r>
                <m:t>К</m:t>
              </m:r>
              <m:r>
                <m:t>П</m:t>
              </m:r>
              <m:r>
                <m:t>Р</m:t>
              </m:r>
            </m:sub>
          </m:sSub>
          <m:r>
            <m:rPr>
              <m:sty m:val="p"/>
            </m:rPr>
            <m:t>,</m:t>
          </m:r>
        </m:oMath>
      </m:oMathPara>
    </w:p>
    <w:p>
      <w:pPr>
        <w:pStyle w:val="FirstParagraph"/>
      </w:pPr>
      <w:r>
        <w:t xml:space="preserve">где:</w:t>
      </w:r>
    </w:p>
    <w:tbl>
      <w:tblPr>
        <w:tblStyle w:val="Table"/>
        <w:tblW w:type="pct" w:w="5000"/>
        <w:tblLook w:firstRow="1" w:lastRow="0" w:firstColumn="0" w:lastColumn="0" w:noHBand="0" w:noVBand="0" w:val="0020"/>
      </w:tblPr>
      <w:tblGrid>
        <w:gridCol w:w="792"/>
        <w:gridCol w:w="5544"/>
        <w:gridCol w:w="1584"/>
      </w:tblGrid>
      <w:tr>
        <w:trPr>
          <w:tblHeader w:val="true"/>
        </w:trPr>
        <w:tc>
          <w:tcPr/>
          <w:p>
            <w:pPr>
              <w:pStyle w:val="Compact"/>
              <w:jc w:val="left"/>
            </w:pPr>
            <m:oMath>
              <m:r>
                <m:t>m</m:t>
              </m:r>
            </m:oMath>
            <w:r>
              <w:t xml:space="preserve"> –</w:t>
            </w:r>
          </w:p>
        </w:tc>
        <w:tc>
          <w:tcPr/>
          <w:p>
            <w:pPr>
              <w:pStyle w:val="Compact"/>
              <w:jc w:val="left"/>
            </w:pPr>
            <w:r>
              <w:t xml:space="preserve">масса паров ЛВЖ</w:t>
            </w:r>
          </w:p>
        </w:tc>
        <w:tc>
          <w:tcPr/>
          <w:p>
            <w:pPr>
              <w:pStyle w:val="Compact"/>
              <w:jc w:val="left"/>
            </w:pPr>
            <m:oMath>
              <m:r>
                <m:t>7</m:t>
              </m:r>
              <m:r>
                <m:rPr>
                  <m:sty m:val="p"/>
                </m:rPr>
                <m:t>,</m:t>
              </m:r>
              <m:r>
                <m:t>45</m:t>
              </m:r>
              <m:r>
                <m:t> </m:t>
              </m:r>
              <m:r>
                <m:rPr>
                  <m:nor/>
                  <m:sty m:val="p"/>
                </m:rPr>
                <m:t>кг</m:t>
              </m:r>
            </m:oMath>
          </w:p>
        </w:tc>
      </w:tr>
      <w:tr>
        <w:tc>
          <w:tcPr/>
          <w:p>
            <w:pPr>
              <w:pStyle w:val="Compact"/>
              <w:jc w:val="left"/>
            </w:pPr>
            <m:oMath>
              <m:sSub>
                <m:e>
                  <m:r>
                    <m:t>ρ</m:t>
                  </m:r>
                </m:e>
                <m:sub>
                  <m:r>
                    <m:t>п</m:t>
                  </m:r>
                </m:sub>
              </m:sSub>
            </m:oMath>
            <w:r>
              <w:t xml:space="preserve"> –</w:t>
            </w:r>
          </w:p>
        </w:tc>
        <w:tc>
          <w:tcPr/>
          <w:p>
            <w:pPr>
              <w:pStyle w:val="Compact"/>
              <w:jc w:val="left"/>
            </w:pPr>
            <w:r>
              <w:t xml:space="preserve">плотность паров ЛВЖ при расчётной температуре</w:t>
            </w:r>
          </w:p>
        </w:tc>
        <w:tc>
          <w:tcPr/>
          <w:p>
            <w:pPr>
              <w:pStyle w:val="Compact"/>
              <w:jc w:val="left"/>
            </w:pPr>
            <m:oMath>
              <m:r>
                <m:t>3</m:t>
              </m:r>
              <m:r>
                <m:rPr>
                  <m:sty m:val="p"/>
                </m:rPr>
                <m:t>,</m:t>
              </m:r>
              <m:r>
                <m:t>58</m:t>
              </m:r>
              <m:r>
                <m:t> </m:t>
              </m:r>
              <m:r>
                <m:rPr>
                  <m:nor/>
                  <m:sty m:val="p"/>
                </m:rPr>
                <m:t>кг/м³</m:t>
              </m:r>
            </m:oMath>
          </w:p>
        </w:tc>
      </w:tr>
      <w:tr>
        <w:tc>
          <w:tcPr/>
          <w:p>
            <w:pPr>
              <w:pStyle w:val="Compact"/>
              <w:jc w:val="left"/>
            </w:pPr>
            <m:oMath>
              <m:sSub>
                <m:e>
                  <m:r>
                    <m:t>V</m:t>
                  </m:r>
                </m:e>
                <m:sub>
                  <m:r>
                    <m:t>с</m:t>
                  </m:r>
                  <m:r>
                    <m:t>в</m:t>
                  </m:r>
                </m:sub>
              </m:sSub>
            </m:oMath>
            <w:r>
              <w:t xml:space="preserve"> –</w:t>
            </w:r>
          </w:p>
        </w:tc>
        <w:tc>
          <w:tcPr/>
          <w:p>
            <w:pPr>
              <w:pStyle w:val="Compact"/>
              <w:jc w:val="left"/>
            </w:pPr>
            <w:r>
              <w:t xml:space="preserve">свободный объём помещения</w:t>
            </w:r>
          </w:p>
        </w:tc>
        <w:tc>
          <w:tcPr/>
          <w:p>
            <w:pPr>
              <w:pStyle w:val="Compact"/>
              <w:jc w:val="left"/>
            </w:pPr>
            <m:oMath>
              <m:r>
                <m:t>3840</m:t>
              </m:r>
              <m:r>
                <m:t> </m:t>
              </m:r>
              <m:r>
                <m:rPr>
                  <m:nor/>
                  <m:sty m:val="p"/>
                </m:rPr>
                <m:t>м³</m:t>
              </m:r>
            </m:oMath>
          </w:p>
        </w:tc>
      </w:tr>
      <w:tr>
        <w:tc>
          <w:tcPr/>
          <w:p>
            <w:pPr>
              <w:pStyle w:val="Compact"/>
              <w:jc w:val="left"/>
            </w:pPr>
            <m:oMath>
              <m:sSub>
                <m:e>
                  <m:r>
                    <m:t>C</m:t>
                  </m:r>
                </m:e>
                <m:sub>
                  <m:r>
                    <m:t>Н</m:t>
                  </m:r>
                  <m:r>
                    <m:t>К</m:t>
                  </m:r>
                  <m:r>
                    <m:t>П</m:t>
                  </m:r>
                  <m:r>
                    <m:t>Р</m:t>
                  </m:r>
                </m:sub>
              </m:sSub>
            </m:oMath>
            <w:r>
              <w:t xml:space="preserve"> –</w:t>
            </w:r>
          </w:p>
        </w:tc>
        <w:tc>
          <w:tcPr/>
          <w:p>
            <w:pPr>
              <w:pStyle w:val="Compact"/>
              <w:jc w:val="left"/>
            </w:pPr>
            <w:r>
              <w:t xml:space="preserve">нижний концентрационный предел распространения пламени</w:t>
            </w:r>
          </w:p>
        </w:tc>
        <w:tc>
          <w:tcPr/>
          <w:p>
            <w:pPr>
              <w:pStyle w:val="Compact"/>
              <w:jc w:val="left"/>
            </w:pPr>
            <m:oMath>
              <m:r>
                <m:t>1</m:t>
              </m:r>
              <m:r>
                <m:rPr>
                  <m:sty m:val="p"/>
                </m:rPr>
                <m:t>,</m:t>
              </m:r>
              <m:r>
                <m:t>06</m:t>
              </m:r>
            </m:oMath>
            <w:r>
              <w:t xml:space="preserve"> </w:t>
            </w:r>
            <w:r>
              <w:t xml:space="preserve">% об.</w:t>
            </w:r>
          </w:p>
        </w:tc>
      </w:tr>
    </w:tbl>
    <w:p>
      <w:pPr>
        <w:pStyle w:val="a0"/>
      </w:pPr>
      <m:oMath>
        <m:r>
          <m:t>0</m:t>
        </m:r>
        <m:r>
          <m:rPr>
            <m:sty m:val="p"/>
          </m:rPr>
          <m:t>,</m:t>
        </m:r>
        <m:r>
          <m:t>05</m:t>
        </m:r>
        <m:r>
          <m:rPr>
            <m:sty m:val="p"/>
          </m:rPr>
          <m:t>&lt;</m:t>
        </m:r>
        <m:r>
          <m:t>0</m:t>
        </m:r>
        <m:r>
          <m:rPr>
            <m:sty m:val="p"/>
          </m:rPr>
          <m:t>,</m:t>
        </m:r>
        <m:r>
          <m:t>53</m:t>
        </m:r>
      </m:oMath>
      <w:r>
        <w:t xml:space="preserve"> </w:t>
      </w:r>
      <w:r>
        <w:t xml:space="preserve">— условие Д.1 выполняется.</w:t>
      </w:r>
    </w:p>
    <w:p>
      <w:pPr>
        <w:pStyle w:val="a0"/>
      </w:pPr>
      <w:r>
        <w:t xml:space="preserve">Отношение длины помещения к ширине составляет 2 ≤ 5. Условие выполняется.</w:t>
      </w:r>
    </w:p>
    <w:p>
      <w:pPr>
        <w:pStyle w:val="a0"/>
      </w:pPr>
      <w:r>
        <w:t xml:space="preserve">Определение концентрации насыщенных паров при расчётной температуре воздуха в помещении, %:</w:t>
      </w:r>
    </w:p>
    <w:p>
      <w:pPr>
        <w:pStyle w:val="a0"/>
      </w:pPr>
      <m:oMathPara>
        <m:oMathParaPr>
          <m:jc m:val="center"/>
        </m:oMathParaPr>
        <m:oMath>
          <m:sSub>
            <m:e>
              <m:r>
                <m:t>C</m:t>
              </m:r>
            </m:e>
            <m:sub>
              <m:r>
                <m:t>н</m:t>
              </m:r>
            </m:sub>
          </m:sSub>
          <m:r>
            <m:rPr>
              <m:sty m:val="p"/>
            </m:rPr>
            <m:t>=</m:t>
          </m:r>
          <m:r>
            <m:t>100</m:t>
          </m:r>
          <m:f>
            <m:fPr>
              <m:type m:val="bar"/>
            </m:fPr>
            <m:num>
              <m:sSub>
                <m:e>
                  <m:r>
                    <m:t>P</m:t>
                  </m:r>
                </m:e>
                <m:sub>
                  <m:r>
                    <m:t>н</m:t>
                  </m:r>
                </m:sub>
              </m:sSub>
            </m:num>
            <m:den>
              <m:sSub>
                <m:e>
                  <m:r>
                    <m:t>P</m:t>
                  </m:r>
                </m:e>
                <m:sub>
                  <m:r>
                    <m:t>0</m:t>
                  </m:r>
                </m:sub>
              </m:sSub>
            </m:den>
          </m:f>
          <m:r>
            <m:rPr>
              <m:sty m:val="p"/>
            </m:rPr>
            <m:t>=</m:t>
          </m:r>
          <m:r>
            <m:t>58</m:t>
          </m:r>
          <m:r>
            <m:rPr>
              <m:sty m:val="p"/>
            </m:rPr>
            <m:t>,</m:t>
          </m:r>
          <m:r>
            <m:t>41</m:t>
          </m:r>
          <m:r>
            <m:rPr>
              <m:sty m:val="p"/>
            </m:rPr>
            <m:t>,</m:t>
          </m:r>
        </m:oMath>
      </m:oMathPara>
    </w:p>
    <w:p>
      <w:pPr>
        <w:pStyle w:val="FirstParagraph"/>
      </w:pPr>
      <w:r>
        <w:t xml:space="preserve">где:</w:t>
      </w:r>
    </w:p>
    <w:tbl>
      <w:tblPr>
        <w:tblStyle w:val="Table"/>
        <w:tblW w:type="pct" w:w="5000"/>
        <w:tblLook w:firstRow="1" w:lastRow="0" w:firstColumn="0" w:lastColumn="0" w:noHBand="0" w:noVBand="0" w:val="0020"/>
      </w:tblPr>
      <w:tblGrid>
        <w:gridCol w:w="792"/>
        <w:gridCol w:w="5544"/>
        <w:gridCol w:w="1584"/>
      </w:tblGrid>
      <w:tr>
        <w:trPr>
          <w:tblHeader w:val="true"/>
        </w:trPr>
        <w:tc>
          <w:tcPr/>
          <w:p>
            <w:pPr>
              <w:pStyle w:val="Compact"/>
              <w:jc w:val="left"/>
            </w:pPr>
            <m:oMath>
              <m:sSub>
                <m:e>
                  <m:r>
                    <m:t>P</m:t>
                  </m:r>
                </m:e>
                <m:sub>
                  <m:r>
                    <m:t>н</m:t>
                  </m:r>
                </m:sub>
              </m:sSub>
            </m:oMath>
            <w:r>
              <w:t xml:space="preserve"> –</w:t>
            </w:r>
          </w:p>
        </w:tc>
        <w:tc>
          <w:tcPr/>
          <w:p>
            <w:pPr>
              <w:pStyle w:val="Compact"/>
              <w:jc w:val="left"/>
            </w:pPr>
            <w:r>
              <w:t xml:space="preserve">давление насыщенных паров при расчётной температуре</w:t>
            </w:r>
          </w:p>
        </w:tc>
        <w:tc>
          <w:tcPr/>
          <w:p>
            <w:pPr>
              <w:pStyle w:val="Compact"/>
              <w:jc w:val="left"/>
            </w:pPr>
            <m:oMath>
              <m:r>
                <m:t>58</m:t>
              </m:r>
              <m:r>
                <m:rPr>
                  <m:sty m:val="p"/>
                </m:rPr>
                <m:t>,</m:t>
              </m:r>
              <m:r>
                <m:t>998</m:t>
              </m:r>
              <m:r>
                <m:t> </m:t>
              </m:r>
              <m:r>
                <m:rPr>
                  <m:nor/>
                  <m:sty m:val="p"/>
                </m:rPr>
                <m:t>кПа</m:t>
              </m:r>
            </m:oMath>
          </w:p>
        </w:tc>
      </w:tr>
      <w:tr>
        <w:tc>
          <w:tcPr/>
          <w:p>
            <w:pPr>
              <w:pStyle w:val="Compact"/>
              <w:jc w:val="left"/>
            </w:pPr>
            <m:oMath>
              <m:sSub>
                <m:e>
                  <m:r>
                    <m:t>P</m:t>
                  </m:r>
                </m:e>
                <m:sub>
                  <m:r>
                    <m:t>0</m:t>
                  </m:r>
                </m:sub>
              </m:sSub>
            </m:oMath>
            <w:r>
              <w:t xml:space="preserve"> –</w:t>
            </w:r>
          </w:p>
        </w:tc>
        <w:tc>
          <w:tcPr/>
          <w:p>
            <w:pPr>
              <w:pStyle w:val="Compact"/>
              <w:jc w:val="left"/>
            </w:pPr>
            <w:r>
              <w:t xml:space="preserve">атмосферное давление</w:t>
            </w:r>
          </w:p>
        </w:tc>
        <w:tc>
          <w:tcPr/>
          <w:p>
            <w:pPr>
              <w:pStyle w:val="Compact"/>
              <w:jc w:val="left"/>
            </w:pPr>
            <m:oMath>
              <m:r>
                <m:t>101</m:t>
              </m:r>
            </m:oMath>
            <w:r>
              <w:t xml:space="preserve"> кПа</w:t>
            </w:r>
          </w:p>
        </w:tc>
      </w:tr>
    </w:tbl>
    <w:p>
      <w:pPr>
        <w:pStyle w:val="a0"/>
      </w:pPr>
      <w:r>
        <w:t xml:space="preserve">Определение предэкспоненциального множителя</w:t>
      </w:r>
      <w:r>
        <w:t xml:space="preserve"> </w:t>
      </w:r>
      <m:oMath>
        <m:sSub>
          <m:e>
            <m:r>
              <m:t>C</m:t>
            </m:r>
          </m:e>
          <m:sub>
            <m:r>
              <m:t>0</m:t>
            </m:r>
          </m:sub>
        </m:sSub>
      </m:oMath>
      <w:r>
        <w:t xml:space="preserve">:</w:t>
      </w:r>
    </w:p>
    <w:p>
      <w:pPr>
        <w:pStyle w:val="a0"/>
      </w:pPr>
      <m:oMathPara>
        <m:oMathParaPr>
          <m:jc m:val="center"/>
        </m:oMathParaPr>
        <m:oMath>
          <m:sSub>
            <m:e>
              <m:r>
                <m:t>C</m:t>
              </m:r>
            </m:e>
            <m:sub>
              <m:r>
                <m:t>0</m:t>
              </m:r>
            </m:sub>
          </m:sSub>
          <m:r>
            <m:rPr>
              <m:sty m:val="p"/>
            </m:rPr>
            <m:t>=</m:t>
          </m:r>
          <m:sSub>
            <m:e>
              <m:r>
                <m:t>C</m:t>
              </m:r>
            </m:e>
            <m:sub>
              <m:r>
                <m:t>н</m:t>
              </m:r>
            </m:sub>
          </m:sSub>
          <m:sSup>
            <m:e>
              <m:d>
                <m:dPr>
                  <m:begChr m:val="("/>
                  <m:endChr m:val=")"/>
                  <m:sepChr m:val=""/>
                  <m:grow/>
                </m:dPr>
                <m:e>
                  <m:f>
                    <m:fPr>
                      <m:type m:val="bar"/>
                    </m:fPr>
                    <m:num>
                      <m:r>
                        <m:t>m</m:t>
                      </m:r>
                      <m:r>
                        <m:rPr>
                          <m:sty m:val="p"/>
                        </m:rPr>
                        <m:t>⋅</m:t>
                      </m:r>
                      <m:r>
                        <m:t>100</m:t>
                      </m:r>
                    </m:num>
                    <m:den>
                      <m:sSub>
                        <m:e>
                          <m:r>
                            <m:t>C</m:t>
                          </m:r>
                        </m:e>
                        <m:sub>
                          <m:r>
                            <m:t>н</m:t>
                          </m:r>
                        </m:sub>
                      </m:sSub>
                      <m:sSub>
                        <m:e>
                          <m:r>
                            <m:t>ρ</m:t>
                          </m:r>
                        </m:e>
                        <m:sub>
                          <m:r>
                            <m:t>п</m:t>
                          </m:r>
                        </m:sub>
                      </m:sSub>
                      <m:sSub>
                        <m:e>
                          <m:r>
                            <m:t>V</m:t>
                          </m:r>
                        </m:e>
                        <m:sub>
                          <m:r>
                            <m:t>с</m:t>
                          </m:r>
                          <m:r>
                            <m:t>в</m:t>
                          </m:r>
                        </m:sub>
                      </m:sSub>
                    </m:den>
                  </m:f>
                </m:e>
              </m:d>
            </m:e>
            <m:sup>
              <m:r>
                <m:t>0</m:t>
              </m:r>
              <m:r>
                <m:rPr>
                  <m:sty m:val="p"/>
                </m:rPr>
                <m:t>,</m:t>
              </m:r>
              <m:r>
                <m:t>41</m:t>
              </m:r>
            </m:sup>
          </m:sSup>
          <m:r>
            <m:rPr>
              <m:sty m:val="p"/>
            </m:rPr>
            <m:t>=</m:t>
          </m:r>
          <m:r>
            <m:t>3</m:t>
          </m:r>
          <m:r>
            <m:rPr>
              <m:sty m:val="p"/>
            </m:rPr>
            <m:t>,</m:t>
          </m:r>
          <m:r>
            <m:t>34</m:t>
          </m:r>
          <m:r>
            <m:rPr>
              <m:sty m:val="p"/>
            </m:rPr>
            <m:t>,</m:t>
          </m:r>
        </m:oMath>
      </m:oMathPara>
    </w:p>
    <w:p>
      <w:pPr>
        <w:pStyle w:val="FirstParagraph"/>
      </w:pPr>
      <w:r>
        <w:t xml:space="preserve">где:</w:t>
      </w:r>
    </w:p>
    <w:tbl>
      <w:tblPr>
        <w:tblStyle w:val="Table"/>
        <w:tblW w:type="pct" w:w="5000"/>
        <w:tblLook w:firstRow="1" w:lastRow="0" w:firstColumn="0" w:lastColumn="0" w:noHBand="0" w:noVBand="0" w:val="0020"/>
      </w:tblPr>
      <w:tblGrid>
        <w:gridCol w:w="792"/>
        <w:gridCol w:w="5544"/>
        <w:gridCol w:w="1584"/>
      </w:tblGrid>
      <w:tr>
        <w:trPr>
          <w:tblHeader w:val="true"/>
        </w:trPr>
        <w:tc>
          <w:tcPr/>
          <w:p>
            <w:pPr>
              <w:pStyle w:val="Compact"/>
              <w:jc w:val="left"/>
            </w:pPr>
            <m:oMath>
              <m:sSub>
                <m:e>
                  <m:r>
                    <m:t>C</m:t>
                  </m:r>
                </m:e>
                <m:sub>
                  <m:r>
                    <m:t>н</m:t>
                  </m:r>
                </m:sub>
              </m:sSub>
            </m:oMath>
            <w:r>
              <w:t xml:space="preserve"> –</w:t>
            </w:r>
          </w:p>
        </w:tc>
        <w:tc>
          <w:tcPr/>
          <w:p>
            <w:pPr>
              <w:pStyle w:val="Compact"/>
              <w:jc w:val="left"/>
            </w:pPr>
            <w:r>
              <w:t xml:space="preserve">концентрация насыщенных паров</w:t>
            </w:r>
          </w:p>
        </w:tc>
        <w:tc>
          <w:tcPr/>
          <w:p>
            <w:pPr>
              <w:pStyle w:val="Compact"/>
              <w:jc w:val="left"/>
            </w:pPr>
            <m:oMath>
              <m:r>
                <m:t>58</m:t>
              </m:r>
              <m:r>
                <m:rPr>
                  <m:sty m:val="p"/>
                </m:rPr>
                <m:t>,</m:t>
              </m:r>
              <m:r>
                <m:t>41</m:t>
              </m:r>
            </m:oMath>
            <w:r>
              <w:t xml:space="preserve"> % об.</w:t>
            </w:r>
          </w:p>
        </w:tc>
      </w:tr>
      <w:tr>
        <w:tc>
          <w:tcPr/>
          <w:p>
            <w:pPr>
              <w:pStyle w:val="Compact"/>
              <w:jc w:val="left"/>
            </w:pPr>
            <m:oMath>
              <m:r>
                <m:t>m</m:t>
              </m:r>
            </m:oMath>
            <w:r>
              <w:t xml:space="preserve"> –</w:t>
            </w:r>
          </w:p>
        </w:tc>
        <w:tc>
          <w:tcPr/>
          <w:p>
            <w:pPr>
              <w:pStyle w:val="Compact"/>
              <w:jc w:val="left"/>
            </w:pPr>
            <w:r>
              <w:t xml:space="preserve">масса паров ЛВЖ</w:t>
            </w:r>
          </w:p>
        </w:tc>
        <w:tc>
          <w:tcPr/>
          <w:p>
            <w:pPr>
              <w:pStyle w:val="Compact"/>
              <w:jc w:val="left"/>
            </w:pPr>
            <m:oMath>
              <m:r>
                <m:t>7</m:t>
              </m:r>
              <m:r>
                <m:rPr>
                  <m:sty m:val="p"/>
                </m:rPr>
                <m:t>,</m:t>
              </m:r>
              <m:r>
                <m:t>45</m:t>
              </m:r>
              <m:r>
                <m:t> </m:t>
              </m:r>
              <m:r>
                <m:rPr>
                  <m:nor/>
                  <m:sty m:val="p"/>
                </m:rPr>
                <m:t>кг</m:t>
              </m:r>
            </m:oMath>
          </w:p>
        </w:tc>
      </w:tr>
      <w:tr>
        <w:tc>
          <w:tcPr/>
          <w:p>
            <w:pPr>
              <w:pStyle w:val="Compact"/>
              <w:jc w:val="left"/>
            </w:pPr>
            <m:oMath>
              <m:sSub>
                <m:e>
                  <m:r>
                    <m:t>ρ</m:t>
                  </m:r>
                </m:e>
                <m:sub>
                  <m:r>
                    <m:t>п</m:t>
                  </m:r>
                </m:sub>
              </m:sSub>
            </m:oMath>
            <w:r>
              <w:t xml:space="preserve"> –</w:t>
            </w:r>
          </w:p>
        </w:tc>
        <w:tc>
          <w:tcPr/>
          <w:p>
            <w:pPr>
              <w:pStyle w:val="Compact"/>
              <w:jc w:val="left"/>
            </w:pPr>
            <w:r>
              <w:t xml:space="preserve">плотность паров ЛВЖ</w:t>
            </w:r>
          </w:p>
        </w:tc>
        <w:tc>
          <w:tcPr/>
          <w:p>
            <w:pPr>
              <w:pStyle w:val="Compact"/>
              <w:jc w:val="left"/>
            </w:pPr>
            <m:oMath>
              <m:r>
                <m:t>3</m:t>
              </m:r>
              <m:r>
                <m:rPr>
                  <m:sty m:val="p"/>
                </m:rPr>
                <m:t>,</m:t>
              </m:r>
              <m:r>
                <m:t>58</m:t>
              </m:r>
              <m:r>
                <m:t> </m:t>
              </m:r>
              <m:r>
                <m:rPr>
                  <m:nor/>
                  <m:sty m:val="p"/>
                </m:rPr>
                <m:t>кг/м³</m:t>
              </m:r>
            </m:oMath>
          </w:p>
        </w:tc>
      </w:tr>
      <w:tr>
        <w:tc>
          <w:tcPr/>
          <w:p>
            <w:pPr>
              <w:pStyle w:val="Compact"/>
              <w:jc w:val="left"/>
            </w:pPr>
            <m:oMath>
              <m:sSub>
                <m:e>
                  <m:r>
                    <m:t>V</m:t>
                  </m:r>
                </m:e>
                <m:sub>
                  <m:r>
                    <m:t>с</m:t>
                  </m:r>
                  <m:r>
                    <m:t>в</m:t>
                  </m:r>
                </m:sub>
              </m:sSub>
            </m:oMath>
            <w:r>
              <w:t xml:space="preserve"> –</w:t>
            </w:r>
          </w:p>
        </w:tc>
        <w:tc>
          <w:tcPr/>
          <w:p>
            <w:pPr>
              <w:pStyle w:val="Compact"/>
              <w:jc w:val="left"/>
            </w:pPr>
            <w:r>
              <w:t xml:space="preserve">свободный объём помещения</w:t>
            </w:r>
          </w:p>
        </w:tc>
        <w:tc>
          <w:tcPr/>
          <w:p>
            <w:pPr>
              <w:pStyle w:val="Compact"/>
              <w:jc w:val="left"/>
            </w:pPr>
            <m:oMath>
              <m:r>
                <m:t>3840</m:t>
              </m:r>
              <m:r>
                <m:t> </m:t>
              </m:r>
              <m:r>
                <m:rPr>
                  <m:nor/>
                  <m:sty m:val="p"/>
                </m:rPr>
                <m:t>м³</m:t>
              </m:r>
            </m:oMath>
          </w:p>
        </w:tc>
      </w:tr>
    </w:tbl>
    <w:p>
      <w:pPr>
        <w:pStyle w:val="a0"/>
      </w:pPr>
      <w:r>
        <w:t xml:space="preserve">Определение расстояний</w:t>
      </w:r>
      <w:r>
        <w:t xml:space="preserve"> </w:t>
      </w:r>
      <m:oMath>
        <m:sSub>
          <m:e>
            <m:r>
              <m:t>Х</m:t>
            </m:r>
          </m:e>
          <m:sub>
            <m:r>
              <m:t>Н</m:t>
            </m:r>
            <m:r>
              <m:t>К</m:t>
            </m:r>
            <m:r>
              <m:t>П</m:t>
            </m:r>
            <m:r>
              <m:t>Р</m:t>
            </m:r>
          </m:sub>
        </m:sSub>
      </m:oMath>
      <w:r>
        <w:t xml:space="preserve">,</w:t>
      </w:r>
      <w:r>
        <w:t xml:space="preserve"> </w:t>
      </w:r>
      <m:oMath>
        <m:sSub>
          <m:e>
            <m:r>
              <m:t>Y</m:t>
            </m:r>
          </m:e>
          <m:sub>
            <m:r>
              <m:t>Н</m:t>
            </m:r>
            <m:r>
              <m:t>К</m:t>
            </m:r>
            <m:r>
              <m:t>П</m:t>
            </m:r>
            <m:r>
              <m:t>Р</m:t>
            </m:r>
          </m:sub>
        </m:sSub>
      </m:oMath>
      <w:r>
        <w:t xml:space="preserve"> </w:t>
      </w:r>
      <w:r>
        <w:t xml:space="preserve">и</w:t>
      </w:r>
      <w:r>
        <w:t xml:space="preserve"> </w:t>
      </w:r>
      <m:oMath>
        <m:sSub>
          <m:e>
            <m:r>
              <m:t>Z</m:t>
            </m:r>
          </m:e>
          <m:sub>
            <m:r>
              <m:t>Н</m:t>
            </m:r>
            <m:r>
              <m:t>К</m:t>
            </m:r>
            <m:r>
              <m:t>П</m:t>
            </m:r>
            <m:r>
              <m:t>Р</m:t>
            </m:r>
          </m:sub>
        </m:sSub>
      </m:oMath>
      <w:r>
        <w:t xml:space="preserve">:</w:t>
      </w:r>
    </w:p>
    <w:p>
      <w:pPr>
        <w:pStyle w:val="a0"/>
      </w:pPr>
      <m:oMathPara>
        <m:oMathParaPr>
          <m:jc m:val="center"/>
        </m:oMathParaPr>
        <m:oMath>
          <m:sSub>
            <m:e>
              <m:r>
                <m:t>Х</m:t>
              </m:r>
            </m:e>
            <m:sub>
              <m:r>
                <m:t>Н</m:t>
              </m:r>
              <m:r>
                <m:t>К</m:t>
              </m:r>
              <m:r>
                <m:t>П</m:t>
              </m:r>
              <m:r>
                <m:t>Р</m:t>
              </m:r>
            </m:sub>
          </m:sSub>
          <m:r>
            <m:rPr>
              <m:sty m:val="p"/>
            </m:rPr>
            <m:t>=</m:t>
          </m:r>
          <m:sSub>
            <m:e>
              <m:r>
                <m:t>K</m:t>
              </m:r>
            </m:e>
            <m:sub>
              <m:r>
                <m:t>1</m:t>
              </m:r>
            </m:sub>
          </m:sSub>
          <m:r>
            <m:t>L</m:t>
          </m:r>
          <m:sSup>
            <m:e>
              <m:d>
                <m:dPr>
                  <m:begChr m:val="("/>
                  <m:endChr m:val=")"/>
                  <m:sepChr m:val=""/>
                  <m:grow/>
                </m:dPr>
                <m:e>
                  <m:sSub>
                    <m:e>
                      <m:r>
                        <m:t>K</m:t>
                      </m:r>
                    </m:e>
                    <m:sub>
                      <m:r>
                        <m:t>2</m:t>
                      </m:r>
                    </m:sub>
                  </m:sSub>
                  <m:r>
                    <m:rPr>
                      <m:sty m:val="p"/>
                    </m:rPr>
                    <m:t>ln</m:t>
                  </m:r>
                  <m:f>
                    <m:fPr>
                      <m:type m:val="bar"/>
                    </m:fPr>
                    <m:num>
                      <m:r>
                        <m:t>δ</m:t>
                      </m:r>
                      <m:sSub>
                        <m:e>
                          <m:r>
                            <m:t>C</m:t>
                          </m:r>
                        </m:e>
                        <m:sub>
                          <m:r>
                            <m:t>0</m:t>
                          </m:r>
                        </m:sub>
                      </m:sSub>
                    </m:num>
                    <m:den>
                      <m:sSub>
                        <m:e>
                          <m:r>
                            <m:t>C</m:t>
                          </m:r>
                        </m:e>
                        <m:sub>
                          <m:r>
                            <m:t>Н</m:t>
                          </m:r>
                          <m:r>
                            <m:t>К</m:t>
                          </m:r>
                          <m:r>
                            <m:t>П</m:t>
                          </m:r>
                          <m:r>
                            <m:t>Р</m:t>
                          </m:r>
                        </m:sub>
                      </m:sSub>
                    </m:den>
                  </m:f>
                </m:e>
              </m:d>
            </m:e>
            <m:sup>
              <m:r>
                <m:t>0</m:t>
              </m:r>
              <m:r>
                <m:rPr>
                  <m:sty m:val="p"/>
                </m:rPr>
                <m:t>,</m:t>
              </m:r>
              <m:r>
                <m:t>5</m:t>
              </m:r>
            </m:sup>
          </m:sSup>
          <m:r>
            <m:rPr>
              <m:sty m:val="p"/>
            </m:rPr>
            <m:t>=</m:t>
          </m:r>
          <m:r>
            <m:t>33</m:t>
          </m:r>
          <m:r>
            <m:rPr>
              <m:sty m:val="p"/>
            </m:rPr>
            <m:t>,</m:t>
          </m:r>
          <m:r>
            <m:t>3</m:t>
          </m:r>
          <m:r>
            <m:t> </m:t>
          </m:r>
          <m:r>
            <m:rPr>
              <m:nor/>
              <m:sty m:val="p"/>
            </m:rPr>
            <m:t>м</m:t>
          </m:r>
          <m:r>
            <m:rPr>
              <m:sty m:val="p"/>
            </m:rPr>
            <m:t>,</m:t>
          </m:r>
        </m:oMath>
      </m:oMathPara>
    </w:p>
    <w:p>
      <w:pPr>
        <w:pStyle w:val="FirstParagraph"/>
      </w:pPr>
      <m:oMathPara>
        <m:oMathParaPr>
          <m:jc m:val="center"/>
        </m:oMathParaPr>
        <m:oMath>
          <m:sSub>
            <m:e>
              <m:r>
                <m:t>Y</m:t>
              </m:r>
            </m:e>
            <m:sub>
              <m:r>
                <m:t>Н</m:t>
              </m:r>
              <m:r>
                <m:t>К</m:t>
              </m:r>
              <m:r>
                <m:t>П</m:t>
              </m:r>
              <m:r>
                <m:t>Р</m:t>
              </m:r>
            </m:sub>
          </m:sSub>
          <m:r>
            <m:rPr>
              <m:sty m:val="p"/>
            </m:rPr>
            <m:t>=</m:t>
          </m:r>
          <m:sSub>
            <m:e>
              <m:r>
                <m:t>K</m:t>
              </m:r>
            </m:e>
            <m:sub>
              <m:r>
                <m:t>1</m:t>
              </m:r>
            </m:sub>
          </m:sSub>
          <m:r>
            <m:t>S</m:t>
          </m:r>
          <m:sSup>
            <m:e>
              <m:d>
                <m:dPr>
                  <m:begChr m:val="("/>
                  <m:endChr m:val=")"/>
                  <m:sepChr m:val=""/>
                  <m:grow/>
                </m:dPr>
                <m:e>
                  <m:sSub>
                    <m:e>
                      <m:r>
                        <m:t>K</m:t>
                      </m:r>
                    </m:e>
                    <m:sub>
                      <m:r>
                        <m:t>2</m:t>
                      </m:r>
                    </m:sub>
                  </m:sSub>
                  <m:r>
                    <m:rPr>
                      <m:sty m:val="p"/>
                    </m:rPr>
                    <m:t>ln</m:t>
                  </m:r>
                  <m:f>
                    <m:fPr>
                      <m:type m:val="bar"/>
                    </m:fPr>
                    <m:num>
                      <m:r>
                        <m:t>δ</m:t>
                      </m:r>
                      <m:sSub>
                        <m:e>
                          <m:r>
                            <m:t>C</m:t>
                          </m:r>
                        </m:e>
                        <m:sub>
                          <m:r>
                            <m:t>0</m:t>
                          </m:r>
                        </m:sub>
                      </m:sSub>
                    </m:num>
                    <m:den>
                      <m:sSub>
                        <m:e>
                          <m:r>
                            <m:t>C</m:t>
                          </m:r>
                        </m:e>
                        <m:sub>
                          <m:r>
                            <m:t>Н</m:t>
                          </m:r>
                          <m:r>
                            <m:t>К</m:t>
                          </m:r>
                          <m:r>
                            <m:t>П</m:t>
                          </m:r>
                          <m:r>
                            <m:t>Р</m:t>
                          </m:r>
                        </m:sub>
                      </m:sSub>
                    </m:den>
                  </m:f>
                </m:e>
              </m:d>
            </m:e>
            <m:sup>
              <m:r>
                <m:t>0</m:t>
              </m:r>
              <m:r>
                <m:rPr>
                  <m:sty m:val="p"/>
                </m:rPr>
                <m:t>,</m:t>
              </m:r>
              <m:r>
                <m:t>5</m:t>
              </m:r>
            </m:sup>
          </m:sSup>
          <m:r>
            <m:rPr>
              <m:sty m:val="p"/>
            </m:rPr>
            <m:t>=</m:t>
          </m:r>
          <m:r>
            <m:t>16</m:t>
          </m:r>
          <m:r>
            <m:rPr>
              <m:sty m:val="p"/>
            </m:rPr>
            <m:t>,</m:t>
          </m:r>
          <m:r>
            <m:t>65</m:t>
          </m:r>
          <m:r>
            <m:t> </m:t>
          </m:r>
          <m:r>
            <m:rPr>
              <m:nor/>
              <m:sty m:val="p"/>
            </m:rPr>
            <m:t>м</m:t>
          </m:r>
          <m:r>
            <m:rPr>
              <m:sty m:val="p"/>
            </m:rPr>
            <m:t>,</m:t>
          </m:r>
        </m:oMath>
      </m:oMathPara>
    </w:p>
    <w:p>
      <w:pPr>
        <w:pStyle w:val="FirstParagraph"/>
      </w:pPr>
      <m:oMathPara>
        <m:oMathParaPr>
          <m:jc m:val="center"/>
        </m:oMathParaPr>
        <m:oMath>
          <m:sSub>
            <m:e>
              <m:r>
                <m:t>Z</m:t>
              </m:r>
            </m:e>
            <m:sub>
              <m:r>
                <m:t>Н</m:t>
              </m:r>
              <m:r>
                <m:t>К</m:t>
              </m:r>
              <m:r>
                <m:t>П</m:t>
              </m:r>
              <m:r>
                <m:t>Р</m:t>
              </m:r>
            </m:sub>
          </m:sSub>
          <m:r>
            <m:rPr>
              <m:sty m:val="p"/>
            </m:rPr>
            <m:t>=</m:t>
          </m:r>
          <m:sSub>
            <m:e>
              <m:r>
                <m:t>K</m:t>
              </m:r>
            </m:e>
            <m:sub>
              <m:r>
                <m:t>3</m:t>
              </m:r>
            </m:sub>
          </m:sSub>
          <m:r>
            <m:t>H</m:t>
          </m:r>
          <m:sSup>
            <m:e>
              <m:d>
                <m:dPr>
                  <m:begChr m:val="("/>
                  <m:endChr m:val=")"/>
                  <m:sepChr m:val=""/>
                  <m:grow/>
                </m:dPr>
                <m:e>
                  <m:sSub>
                    <m:e>
                      <m:r>
                        <m:t>K</m:t>
                      </m:r>
                    </m:e>
                    <m:sub>
                      <m:r>
                        <m:t>2</m:t>
                      </m:r>
                    </m:sub>
                  </m:sSub>
                  <m:r>
                    <m:rPr>
                      <m:sty m:val="p"/>
                    </m:rPr>
                    <m:t>ln</m:t>
                  </m:r>
                  <m:f>
                    <m:fPr>
                      <m:type m:val="bar"/>
                    </m:fPr>
                    <m:num>
                      <m:r>
                        <m:t>δ</m:t>
                      </m:r>
                      <m:sSub>
                        <m:e>
                          <m:r>
                            <m:t>C</m:t>
                          </m:r>
                        </m:e>
                        <m:sub>
                          <m:r>
                            <m:t>0</m:t>
                          </m:r>
                        </m:sub>
                      </m:sSub>
                    </m:num>
                    <m:den>
                      <m:sSub>
                        <m:e>
                          <m:r>
                            <m:t>C</m:t>
                          </m:r>
                        </m:e>
                        <m:sub>
                          <m:r>
                            <m:t>Н</m:t>
                          </m:r>
                          <m:r>
                            <m:t>К</m:t>
                          </m:r>
                          <m:r>
                            <m:t>П</m:t>
                          </m:r>
                          <m:r>
                            <m:t>Р</m:t>
                          </m:r>
                        </m:sub>
                      </m:sSub>
                    </m:den>
                  </m:f>
                </m:e>
              </m:d>
            </m:e>
            <m:sup>
              <m:r>
                <m:t>0</m:t>
              </m:r>
              <m:r>
                <m:rPr>
                  <m:sty m:val="p"/>
                </m:rPr>
                <m:t>,</m:t>
              </m:r>
              <m:r>
                <m:t>5</m:t>
              </m:r>
            </m:sup>
          </m:sSup>
          <m:r>
            <m:rPr>
              <m:sty m:val="p"/>
            </m:rPr>
            <m:t>=</m:t>
          </m:r>
          <m:r>
            <m:t>0</m:t>
          </m:r>
          <m:r>
            <m:rPr>
              <m:sty m:val="p"/>
            </m:rPr>
            <m:t>,</m:t>
          </m:r>
          <m:r>
            <m:t>2</m:t>
          </m:r>
          <m:r>
            <m:t> </m:t>
          </m:r>
          <m:r>
            <m:rPr>
              <m:nor/>
              <m:sty m:val="p"/>
            </m:rPr>
            <m:t>м</m:t>
          </m:r>
          <m:r>
            <m:rPr>
              <m:sty m:val="p"/>
            </m:rPr>
            <m:t>,</m:t>
          </m:r>
        </m:oMath>
      </m:oMathPara>
    </w:p>
    <w:p>
      <w:pPr>
        <w:pStyle w:val="FirstParagraph"/>
      </w:pPr>
      <w:r>
        <w:t xml:space="preserve">где:</w:t>
      </w:r>
    </w:p>
    <w:tbl>
      <w:tblPr>
        <w:tblStyle w:val="Table"/>
        <w:tblW w:type="pct" w:w="5000"/>
        <w:tblLook w:firstRow="1" w:lastRow="0" w:firstColumn="0" w:lastColumn="0" w:noHBand="0" w:noVBand="0" w:val="0020"/>
      </w:tblPr>
      <w:tblGrid>
        <w:gridCol w:w="792"/>
        <w:gridCol w:w="5544"/>
        <w:gridCol w:w="1584"/>
      </w:tblGrid>
      <w:tr>
        <w:trPr>
          <w:tblHeader w:val="true"/>
        </w:trPr>
        <w:tc>
          <w:tcPr/>
          <w:p>
            <w:pPr>
              <w:pStyle w:val="Compact"/>
              <w:jc w:val="left"/>
            </w:pPr>
            <m:oMath>
              <m:sSub>
                <m:e>
                  <m:r>
                    <m:t>K</m:t>
                  </m:r>
                </m:e>
                <m:sub>
                  <m:r>
                    <m:t>1</m:t>
                  </m:r>
                </m:sub>
              </m:sSub>
            </m:oMath>
            <w:r>
              <w:t xml:space="preserve"> –</w:t>
            </w:r>
          </w:p>
        </w:tc>
        <w:tc>
          <w:tcPr/>
          <w:p>
            <w:pPr>
              <w:pStyle w:val="Compact"/>
              <w:jc w:val="left"/>
            </w:pPr>
            <w:r>
              <w:t xml:space="preserve">коэффициент, принимаемый для паров ЛВЖ равным 1,1958</w:t>
            </w:r>
          </w:p>
        </w:tc>
        <w:tc>
          <w:tcPr/>
          <w:p>
            <w:pPr>
              <w:pStyle w:val="Compact"/>
              <w:jc w:val="left"/>
            </w:pPr>
            <m:oMath>
              <m:r>
                <m:t>1</m:t>
              </m:r>
              <m:r>
                <m:rPr>
                  <m:sty m:val="p"/>
                </m:rPr>
                <m:t>,</m:t>
              </m:r>
              <m:r>
                <m:t>1958</m:t>
              </m:r>
            </m:oMath>
          </w:p>
        </w:tc>
      </w:tr>
      <w:tr>
        <w:tc>
          <w:tcPr/>
          <w:p>
            <w:pPr>
              <w:pStyle w:val="Compact"/>
              <w:jc w:val="left"/>
            </w:pPr>
            <m:oMath>
              <m:sSub>
                <m:e>
                  <m:r>
                    <m:t>K</m:t>
                  </m:r>
                </m:e>
                <m:sub>
                  <m:r>
                    <m:t>2</m:t>
                  </m:r>
                </m:sub>
              </m:sSub>
            </m:oMath>
            <w:r>
              <w:t xml:space="preserve"> –</w:t>
            </w:r>
          </w:p>
        </w:tc>
        <w:tc>
          <w:tcPr/>
          <w:p>
            <w:pPr>
              <w:pStyle w:val="Compact"/>
              <w:jc w:val="left"/>
            </w:pPr>
            <w:r>
              <w:t xml:space="preserve">коэффициент, принимаемый для паров ЛВЖ равным T/3600</w:t>
            </w:r>
          </w:p>
        </w:tc>
        <w:tc>
          <w:tcPr/>
          <w:p>
            <w:pPr>
              <w:pStyle w:val="Compact"/>
              <w:jc w:val="left"/>
            </w:pPr>
            <m:oMath>
              <m:r>
                <m:t>0</m:t>
              </m:r>
              <m:r>
                <m:rPr>
                  <m:sty m:val="p"/>
                </m:rPr>
                <m:t>,</m:t>
              </m:r>
              <m:r>
                <m:t>354</m:t>
              </m:r>
            </m:oMath>
          </w:p>
        </w:tc>
      </w:tr>
      <w:tr>
        <w:tc>
          <w:tcPr/>
          <w:p>
            <w:pPr>
              <w:pStyle w:val="Compact"/>
              <w:jc w:val="left"/>
            </w:pPr>
            <m:oMath>
              <m:sSub>
                <m:e>
                  <m:r>
                    <m:t>K</m:t>
                  </m:r>
                </m:e>
                <m:sub>
                  <m:r>
                    <m:t>3</m:t>
                  </m:r>
                </m:sub>
              </m:sSub>
            </m:oMath>
            <w:r>
              <w:t xml:space="preserve"> –</w:t>
            </w:r>
          </w:p>
        </w:tc>
        <w:tc>
          <w:tcPr/>
          <w:p>
            <w:pPr>
              <w:pStyle w:val="Compact"/>
              <w:jc w:val="left"/>
            </w:pPr>
            <w:r>
              <w:t xml:space="preserve">коэффициент, принимаемый равным 0,04714 для паров ЛВЖ при отсутствии подвижности воздушной среды; 0,3536 — для паров ЛВЖ при подвижности воздушной среды</w:t>
            </w:r>
          </w:p>
        </w:tc>
        <w:tc>
          <w:tcPr/>
          <w:p>
            <w:pPr>
              <w:pStyle w:val="Compact"/>
              <w:jc w:val="left"/>
            </w:pPr>
            <m:oMath>
              <m:r>
                <m:t>0</m:t>
              </m:r>
              <m:r>
                <m:rPr>
                  <m:sty m:val="p"/>
                </m:rPr>
                <m:t>,</m:t>
              </m:r>
              <m:r>
                <m:t>04714</m:t>
              </m:r>
            </m:oMath>
          </w:p>
        </w:tc>
      </w:tr>
      <w:tr>
        <w:tc>
          <w:tcPr/>
          <w:p>
            <w:pPr>
              <w:pStyle w:val="Compact"/>
              <w:jc w:val="left"/>
            </w:pPr>
            <m:oMath>
              <m:r>
                <m:t>L</m:t>
              </m:r>
            </m:oMath>
            <w:r>
              <w:t xml:space="preserve"> –</w:t>
            </w:r>
          </w:p>
        </w:tc>
        <w:tc>
          <w:tcPr/>
          <w:p>
            <w:pPr>
              <w:pStyle w:val="Compact"/>
              <w:jc w:val="left"/>
            </w:pPr>
            <w:r>
              <w:t xml:space="preserve">длина помещения</w:t>
            </w:r>
          </w:p>
        </w:tc>
        <w:tc>
          <w:tcPr/>
          <w:p>
            <w:pPr>
              <w:pStyle w:val="Compact"/>
              <w:jc w:val="left"/>
            </w:pPr>
            <m:oMath>
              <m:r>
                <m:t>40</m:t>
              </m:r>
              <m:r>
                <m:t> </m:t>
              </m:r>
              <m:r>
                <m:rPr>
                  <m:nor/>
                  <m:sty m:val="p"/>
                </m:rPr>
                <m:t>м</m:t>
              </m:r>
            </m:oMath>
          </w:p>
        </w:tc>
      </w:tr>
      <w:tr>
        <w:tc>
          <w:tcPr/>
          <w:p>
            <w:pPr>
              <w:pStyle w:val="Compact"/>
              <w:jc w:val="left"/>
            </w:pPr>
            <m:oMath>
              <m:r>
                <m:t>S</m:t>
              </m:r>
            </m:oMath>
            <w:r>
              <w:t xml:space="preserve"> –</w:t>
            </w:r>
          </w:p>
        </w:tc>
        <w:tc>
          <w:tcPr/>
          <w:p>
            <w:pPr>
              <w:pStyle w:val="Compact"/>
              <w:jc w:val="left"/>
            </w:pPr>
            <w:r>
              <w:t xml:space="preserve">ширина помещения</w:t>
            </w:r>
          </w:p>
        </w:tc>
        <w:tc>
          <w:tcPr/>
          <w:p>
            <w:pPr>
              <w:pStyle w:val="Compact"/>
              <w:jc w:val="left"/>
            </w:pPr>
            <m:oMath>
              <m:r>
                <m:t>20</m:t>
              </m:r>
              <m:r>
                <m:t> </m:t>
              </m:r>
              <m:r>
                <m:rPr>
                  <m:nor/>
                  <m:sty m:val="p"/>
                </m:rPr>
                <m:t>м</m:t>
              </m:r>
            </m:oMath>
          </w:p>
        </w:tc>
      </w:tr>
      <w:tr>
        <w:tc>
          <w:tcPr/>
          <w:p>
            <w:pPr>
              <w:pStyle w:val="Compact"/>
              <w:jc w:val="left"/>
            </w:pPr>
            <m:oMath>
              <m:r>
                <m:t>H</m:t>
              </m:r>
            </m:oMath>
            <w:r>
              <w:t xml:space="preserve"> –</w:t>
            </w:r>
          </w:p>
        </w:tc>
        <w:tc>
          <w:tcPr/>
          <w:p>
            <w:pPr>
              <w:pStyle w:val="Compact"/>
              <w:jc w:val="left"/>
            </w:pPr>
            <w:r>
              <w:t xml:space="preserve">высота помещения</w:t>
            </w:r>
          </w:p>
        </w:tc>
        <w:tc>
          <w:tcPr/>
          <w:p>
            <w:pPr>
              <w:pStyle w:val="Compact"/>
              <w:jc w:val="left"/>
            </w:pPr>
            <m:oMath>
              <m:r>
                <m:t>6</m:t>
              </m:r>
              <m:r>
                <m:t> </m:t>
              </m:r>
              <m:r>
                <m:rPr>
                  <m:nor/>
                  <m:sty m:val="p"/>
                </m:rPr>
                <m:t>м</m:t>
              </m:r>
            </m:oMath>
          </w:p>
        </w:tc>
      </w:tr>
      <w:tr>
        <w:tc>
          <w:tcPr/>
          <w:p>
            <w:pPr>
              <w:pStyle w:val="Compact"/>
              <w:jc w:val="left"/>
            </w:pPr>
            <m:oMath>
              <m:r>
                <m:t>δ</m:t>
              </m:r>
            </m:oMath>
            <w:r>
              <w:t xml:space="preserve"> –</w:t>
            </w:r>
          </w:p>
        </w:tc>
        <w:tc>
          <w:tcPr/>
          <w:p>
            <w:pPr>
              <w:pStyle w:val="Compact"/>
              <w:jc w:val="left"/>
            </w:pPr>
            <w:r>
              <w:t xml:space="preserve">допустимые отклонения концентрации при заданном уровне значимости</w:t>
            </w:r>
            <w:r>
              <w:t xml:space="preserve"> </w:t>
            </w:r>
            <m:oMath>
              <m:r>
                <m:t>Q</m:t>
              </m:r>
              <m:d>
                <m:dPr>
                  <m:begChr m:val="("/>
                  <m:endChr m:val=")"/>
                  <m:sepChr m:val=""/>
                  <m:grow/>
                </m:dPr>
                <m:e>
                  <m:r>
                    <m:t>C</m:t>
                  </m:r>
                  <m:r>
                    <m:rPr>
                      <m:sty m:val="p"/>
                    </m:rPr>
                    <m:t>&gt;</m:t>
                  </m:r>
                  <m:bar>
                    <m:barPr>
                      <m:pos m:val="top"/>
                    </m:barPr>
                    <m:e>
                      <m:r>
                        <m:t>C</m:t>
                      </m:r>
                    </m:e>
                  </m:bar>
                </m:e>
              </m:d>
              <m:r>
                <m:rPr>
                  <m:sty m:val="p"/>
                </m:rPr>
                <m:t>=</m:t>
              </m:r>
              <m:r>
                <m:t>0</m:t>
              </m:r>
              <m:r>
                <m:rPr>
                  <m:sty m:val="p"/>
                </m:rPr>
                <m:t>,</m:t>
              </m:r>
              <m:r>
                <m:t>05</m:t>
              </m:r>
            </m:oMath>
          </w:p>
        </w:tc>
        <w:tc>
          <w:tcPr/>
          <w:p>
            <w:pPr>
              <w:pStyle w:val="Compact"/>
              <w:jc w:val="left"/>
            </w:pPr>
            <m:oMath>
              <m:r>
                <m:t>1</m:t>
              </m:r>
              <m:r>
                <m:rPr>
                  <m:sty m:val="p"/>
                </m:rPr>
                <m:t>,</m:t>
              </m:r>
              <m:r>
                <m:t>25</m:t>
              </m:r>
            </m:oMath>
          </w:p>
        </w:tc>
      </w:tr>
    </w:tbl>
    <w:p>
      <w:pPr>
        <w:pStyle w:val="a0"/>
      </w:pPr>
      <w:r>
        <w:t xml:space="preserve">При отрицательных значениях логарифмов расстояния</w:t>
      </w:r>
      <w:r>
        <w:t xml:space="preserve"> </w:t>
      </w:r>
      <m:oMath>
        <m:sSub>
          <m:e>
            <m:r>
              <m:t>Х</m:t>
            </m:r>
          </m:e>
          <m:sub>
            <m:r>
              <m:t>Н</m:t>
            </m:r>
            <m:r>
              <m:t>К</m:t>
            </m:r>
            <m:r>
              <m:t>П</m:t>
            </m:r>
            <m:r>
              <m:t>Р</m:t>
            </m:r>
          </m:sub>
        </m:sSub>
      </m:oMath>
      <w:r>
        <w:t xml:space="preserve">,</w:t>
      </w:r>
      <w:r>
        <w:t xml:space="preserve"> </w:t>
      </w:r>
      <m:oMath>
        <m:sSub>
          <m:e>
            <m:r>
              <m:t>Y</m:t>
            </m:r>
          </m:e>
          <m:sub>
            <m:r>
              <m:t>Н</m:t>
            </m:r>
            <m:r>
              <m:t>К</m:t>
            </m:r>
            <m:r>
              <m:t>П</m:t>
            </m:r>
            <m:r>
              <m:t>Р</m:t>
            </m:r>
          </m:sub>
        </m:sSub>
      </m:oMath>
      <w:r>
        <w:t xml:space="preserve"> </w:t>
      </w:r>
      <w:r>
        <w:t xml:space="preserve">и</w:t>
      </w:r>
      <w:r>
        <w:t xml:space="preserve"> </w:t>
      </w:r>
      <m:oMath>
        <m:sSub>
          <m:e>
            <m:r>
              <m:t>Z</m:t>
            </m:r>
          </m:e>
          <m:sub>
            <m:r>
              <m:t>Н</m:t>
            </m:r>
            <m:r>
              <m:t>К</m:t>
            </m:r>
            <m:r>
              <m:t>П</m:t>
            </m:r>
            <m:r>
              <m:t>Р</m:t>
            </m:r>
          </m:sub>
        </m:sSub>
      </m:oMath>
      <w:r>
        <w:t xml:space="preserve"> </w:t>
      </w:r>
      <w:r>
        <w:t xml:space="preserve">принимаются равными 0.</w:t>
      </w:r>
    </w:p>
    <w:p>
      <w:pPr>
        <w:pStyle w:val="a0"/>
      </w:pPr>
      <w:r>
        <w:t xml:space="preserve">Коэффициент</w:t>
      </w:r>
      <w:r>
        <w:t xml:space="preserve"> </w:t>
      </w:r>
      <m:oMath>
        <m:r>
          <m:t>Z</m:t>
        </m:r>
      </m:oMath>
      <w:r>
        <w:t xml:space="preserve"> </w:t>
      </w:r>
      <w:r>
        <w:t xml:space="preserve">участия в горении паров ЛВЖ при</w:t>
      </w:r>
      <w:r>
        <w:t xml:space="preserve"> </w:t>
      </w:r>
      <m:oMath>
        <m:sSub>
          <m:e>
            <m:r>
              <m:t>X</m:t>
            </m:r>
          </m:e>
          <m:sub>
            <m:r>
              <m:t>Н</m:t>
            </m:r>
            <m:r>
              <m:t>К</m:t>
            </m:r>
            <m:r>
              <m:t>П</m:t>
            </m:r>
            <m:r>
              <m:t>Р</m:t>
            </m:r>
          </m:sub>
        </m:sSub>
        <m:r>
          <m:rPr>
            <m:sty m:val="p"/>
          </m:rPr>
          <m:t>&gt;</m:t>
        </m:r>
        <m:r>
          <m:t>L</m:t>
        </m:r>
        <m:r>
          <m:rPr>
            <m:sty m:val="p"/>
          </m:rPr>
          <m:t>/</m:t>
        </m:r>
        <m:r>
          <m:t>2</m:t>
        </m:r>
      </m:oMath>
      <w:r>
        <w:t xml:space="preserve"> </w:t>
      </w:r>
      <w:r>
        <w:t xml:space="preserve">и</w:t>
      </w:r>
      <w:r>
        <w:t xml:space="preserve"> </w:t>
      </w:r>
      <m:oMath>
        <m:sSub>
          <m:e>
            <m:r>
              <m:t>Y</m:t>
            </m:r>
          </m:e>
          <m:sub>
            <m:r>
              <m:t>Н</m:t>
            </m:r>
            <m:r>
              <m:t>К</m:t>
            </m:r>
            <m:r>
              <m:t>П</m:t>
            </m:r>
            <m:r>
              <m:t>Р</m:t>
            </m:r>
          </m:sub>
        </m:sSub>
        <m:r>
          <m:rPr>
            <m:sty m:val="p"/>
          </m:rPr>
          <m:t>≤</m:t>
        </m:r>
        <m:r>
          <m:t>S</m:t>
        </m:r>
        <m:r>
          <m:rPr>
            <m:sty m:val="p"/>
          </m:rPr>
          <m:t>/</m:t>
        </m:r>
        <m:r>
          <m:t>2</m:t>
        </m:r>
      </m:oMath>
      <w:r>
        <w:t xml:space="preserve"> </w:t>
      </w:r>
      <w:r>
        <w:t xml:space="preserve">определяется по формуле:</w:t>
      </w:r>
    </w:p>
    <w:p>
      <w:pPr>
        <w:pStyle w:val="a0"/>
      </w:pPr>
      <m:oMathPara>
        <m:oMathParaPr>
          <m:jc m:val="center"/>
        </m:oMathParaPr>
        <m:oMath>
          <m:r>
            <m:t>Z</m:t>
          </m:r>
          <m:r>
            <m:rPr>
              <m:sty m:val="p"/>
            </m:rPr>
            <m:t>=</m:t>
          </m:r>
          <m:f>
            <m:fPr>
              <m:type m:val="bar"/>
            </m:fPr>
            <m:num>
              <m:r>
                <m:t>5</m:t>
              </m:r>
              <m:r>
                <m:rPr>
                  <m:sty m:val="p"/>
                </m:rPr>
                <m:t>⋅</m:t>
              </m:r>
              <m:sSup>
                <m:e>
                  <m:r>
                    <m:t>10</m:t>
                  </m:r>
                </m:e>
                <m:sup>
                  <m:r>
                    <m:rPr>
                      <m:sty m:val="p"/>
                    </m:rPr>
                    <m:t>−</m:t>
                  </m:r>
                  <m:r>
                    <m:t>3</m:t>
                  </m:r>
                </m:sup>
              </m:sSup>
            </m:num>
            <m:den>
              <m:r>
                <m:t>m</m:t>
              </m:r>
            </m:den>
          </m:f>
          <m:sSub>
            <m:e>
              <m:r>
                <m:t>ρ</m:t>
              </m:r>
            </m:e>
            <m:sub>
              <m:r>
                <m:t>п</m:t>
              </m:r>
            </m:sub>
          </m:sSub>
          <m:d>
            <m:dPr>
              <m:begChr m:val="("/>
              <m:endChr m:val=")"/>
              <m:sepChr m:val=""/>
              <m:grow/>
            </m:dPr>
            <m:e>
              <m:sSub>
                <m:e>
                  <m:r>
                    <m:t>C</m:t>
                  </m:r>
                </m:e>
                <m:sub>
                  <m:r>
                    <m:t>0</m:t>
                  </m:r>
                </m:sub>
              </m:sSub>
              <m:r>
                <m:rPr>
                  <m:sty m:val="p"/>
                </m:rPr>
                <m:t>+</m:t>
              </m:r>
              <m:f>
                <m:fPr>
                  <m:type m:val="bar"/>
                </m:fPr>
                <m:num>
                  <m:sSub>
                    <m:e>
                      <m:r>
                        <m:t>C</m:t>
                      </m:r>
                    </m:e>
                    <m:sub>
                      <m:r>
                        <m:t>Н</m:t>
                      </m:r>
                      <m:r>
                        <m:t>К</m:t>
                      </m:r>
                      <m:r>
                        <m:t>П</m:t>
                      </m:r>
                      <m:r>
                        <m:t>Р</m:t>
                      </m:r>
                    </m:sub>
                  </m:sSub>
                </m:num>
                <m:den>
                  <m:r>
                    <m:t>δ</m:t>
                  </m:r>
                </m:den>
              </m:f>
            </m:e>
          </m:d>
          <m:r>
            <m:t>F</m:t>
          </m:r>
          <m:sSub>
            <m:e>
              <m:r>
                <m:t>Z</m:t>
              </m:r>
            </m:e>
            <m:sub>
              <m:r>
                <m:t>Н</m:t>
              </m:r>
              <m:r>
                <m:t>К</m:t>
              </m:r>
              <m:r>
                <m:t>П</m:t>
              </m:r>
              <m:r>
                <m:t>Р</m:t>
              </m:r>
            </m:sub>
          </m:sSub>
          <m:r>
            <m:rPr>
              <m:sty m:val="p"/>
            </m:rPr>
            <m:t>=</m:t>
          </m:r>
          <m:r>
            <m:t>1</m:t>
          </m:r>
          <m:r>
            <m:rPr>
              <m:sty m:val="p"/>
            </m:rPr>
            <m:t>,</m:t>
          </m:r>
          <m:r>
            <m:t>584</m:t>
          </m:r>
          <m:r>
            <m:rPr>
              <m:sty m:val="p"/>
            </m:rPr>
            <m:t>≈</m:t>
          </m:r>
          <m:r>
            <m:t>1</m:t>
          </m:r>
          <m:r>
            <m:rPr>
              <m:sty m:val="p"/>
            </m:rPr>
            <m:t>,</m:t>
          </m:r>
        </m:oMath>
      </m:oMathPara>
    </w:p>
    <w:p>
      <w:pPr>
        <w:pStyle w:val="FirstParagraph"/>
      </w:pPr>
      <w:r>
        <w:t xml:space="preserve">где</w:t>
      </w:r>
      <w:r>
        <w:t xml:space="preserve"> </w:t>
      </w:r>
      <m:oMath>
        <m:r>
          <m:t>F</m:t>
        </m:r>
        <m:r>
          <m:rPr>
            <m:sty m:val="p"/>
          </m:rPr>
          <m:t>=</m:t>
        </m:r>
        <m:r>
          <m:t>800</m:t>
        </m:r>
        <m:r>
          <m:t> </m:t>
        </m:r>
        <m:r>
          <m:rPr>
            <m:nor/>
            <m:sty m:val="p"/>
          </m:rPr>
          <m:t>м²</m:t>
        </m:r>
      </m:oMath>
      <w:r>
        <w:t xml:space="preserve"> </w:t>
      </w:r>
      <w:r>
        <w:t xml:space="preserve">— площадь пола помещения.</w:t>
      </w:r>
    </w:p>
    <w:p>
      <w:pPr>
        <w:pStyle w:val="a0"/>
      </w:pPr>
      <w:r>
        <w:rPr>
          <w:bCs/>
          <w:b/>
        </w:rPr>
        <w:t xml:space="preserve">Расчёт допустимого объёма помещения</w:t>
      </w:r>
    </w:p>
    <w:p>
      <w:pPr>
        <w:pStyle w:val="a0"/>
      </w:pPr>
      <w:r>
        <w:t xml:space="preserve">Согласно п.6.11 СП 364.1311500, помещение для хранения и обслуживания автомобилей следует относить к пожароопасным категориям. При этом свободный объём помещения должен превышать допустимый.</w:t>
      </w:r>
    </w:p>
    <w:p>
      <w:pPr>
        <w:pStyle w:val="a0"/>
      </w:pPr>
      <w:r>
        <w:t xml:space="preserve">Допустимый объём помещения определяется по формуле:</w:t>
      </w:r>
    </w:p>
    <w:p>
      <w:pPr>
        <w:pStyle w:val="a0"/>
      </w:pPr>
      <m:oMathPara>
        <m:oMathParaPr>
          <m:jc m:val="center"/>
        </m:oMathParaPr>
        <m:oMath>
          <m:sSub>
            <m:e>
              <m:r>
                <m:t>V</m:t>
              </m:r>
            </m:e>
            <m:sub>
              <m:r>
                <m:t>д</m:t>
              </m:r>
              <m:r>
                <m:t>о</m:t>
              </m:r>
              <m:r>
                <m:t>п</m:t>
              </m:r>
            </m:sub>
          </m:sSub>
          <m:r>
            <m:rPr>
              <m:sty m:val="p"/>
            </m:rPr>
            <m:t>=</m:t>
          </m:r>
          <m:f>
            <m:fPr>
              <m:type m:val="bar"/>
            </m:fPr>
            <m:num>
              <m:r>
                <m:t>100</m:t>
              </m:r>
              <m:r>
                <m:rPr>
                  <m:sty m:val="p"/>
                </m:rPr>
                <m:t>⋅</m:t>
              </m:r>
              <m:r>
                <m:t>m</m:t>
              </m:r>
              <m:r>
                <m:rPr>
                  <m:sty m:val="p"/>
                </m:rPr>
                <m:t>⋅</m:t>
              </m:r>
              <m:sSub>
                <m:e>
                  <m:r>
                    <m:t>H</m:t>
                  </m:r>
                </m:e>
                <m:sub>
                  <m:r>
                    <m:t>т</m:t>
                  </m:r>
                </m:sub>
              </m:sSub>
              <m:r>
                <m:rPr>
                  <m:sty m:val="p"/>
                </m:rPr>
                <m:t>⋅</m:t>
              </m:r>
              <m:r>
                <m:t>Z</m:t>
              </m:r>
            </m:num>
            <m:den>
              <m:r>
                <m:t>5</m:t>
              </m:r>
              <m:r>
                <m:rPr>
                  <m:sty m:val="p"/>
                </m:rPr>
                <m:t>,</m:t>
              </m:r>
              <m:r>
                <m:t>58</m:t>
              </m:r>
            </m:den>
          </m:f>
          <m:r>
            <m:rPr>
              <m:sty m:val="p"/>
            </m:rPr>
            <m:t>=</m:t>
          </m:r>
          <m:r>
            <m:t>5826</m:t>
          </m:r>
          <m:r>
            <m:rPr>
              <m:sty m:val="p"/>
            </m:rPr>
            <m:t>,</m:t>
          </m:r>
          <m:r>
            <m:t>5</m:t>
          </m:r>
          <m:r>
            <m:t> </m:t>
          </m:r>
          <m:r>
            <m:rPr>
              <m:nor/>
              <m:sty m:val="p"/>
            </m:rPr>
            <m:t>м³</m:t>
          </m:r>
          <m:r>
            <m:rPr>
              <m:sty m:val="p"/>
            </m:rPr>
            <m:t>,</m:t>
          </m:r>
        </m:oMath>
      </m:oMathPara>
    </w:p>
    <w:p>
      <w:pPr>
        <w:pStyle w:val="FirstParagraph"/>
      </w:pPr>
      <w:r>
        <w:t xml:space="preserve">где:</w:t>
      </w:r>
    </w:p>
    <w:tbl>
      <w:tblPr>
        <w:tblStyle w:val="Table"/>
        <w:tblW w:type="pct" w:w="5000"/>
        <w:tblLook w:firstRow="1" w:lastRow="0" w:firstColumn="0" w:lastColumn="0" w:noHBand="0" w:noVBand="0" w:val="0020"/>
      </w:tblPr>
      <w:tblGrid>
        <w:gridCol w:w="792"/>
        <w:gridCol w:w="5544"/>
        <w:gridCol w:w="1584"/>
      </w:tblGrid>
      <w:tr>
        <w:trPr>
          <w:tblHeader w:val="true"/>
        </w:trPr>
        <w:tc>
          <w:tcPr/>
          <w:p>
            <w:pPr>
              <w:pStyle w:val="Compact"/>
              <w:jc w:val="left"/>
            </w:pPr>
            <m:oMath>
              <m:r>
                <m:t>m</m:t>
              </m:r>
            </m:oMath>
            <w:r>
              <w:t xml:space="preserve"> –</w:t>
            </w:r>
          </w:p>
        </w:tc>
        <w:tc>
          <w:tcPr/>
          <w:p>
            <w:pPr>
              <w:pStyle w:val="Compact"/>
              <w:jc w:val="left"/>
            </w:pPr>
            <w:r>
              <w:t xml:space="preserve">масса паров топлива</w:t>
            </w:r>
          </w:p>
        </w:tc>
        <w:tc>
          <w:tcPr/>
          <w:p>
            <w:pPr>
              <w:pStyle w:val="Compact"/>
              <w:jc w:val="left"/>
            </w:pPr>
            <m:oMath>
              <m:r>
                <m:t>7</m:t>
              </m:r>
              <m:r>
                <m:rPr>
                  <m:sty m:val="p"/>
                </m:rPr>
                <m:t>,</m:t>
              </m:r>
              <m:r>
                <m:t>45</m:t>
              </m:r>
              <m:r>
                <m:t> </m:t>
              </m:r>
              <m:r>
                <m:rPr>
                  <m:nor/>
                  <m:sty m:val="p"/>
                </m:rPr>
                <m:t>кг</m:t>
              </m:r>
            </m:oMath>
          </w:p>
        </w:tc>
      </w:tr>
      <w:tr>
        <w:tc>
          <w:tcPr/>
          <w:p>
            <w:pPr>
              <w:pStyle w:val="Compact"/>
              <w:jc w:val="left"/>
            </w:pPr>
            <m:oMath>
              <m:sSub>
                <m:e>
                  <m:r>
                    <m:t>H</m:t>
                  </m:r>
                </m:e>
                <m:sub>
                  <m:r>
                    <m:t>т</m:t>
                  </m:r>
                </m:sub>
              </m:sSub>
            </m:oMath>
            <w:r>
              <w:t xml:space="preserve"> –</w:t>
            </w:r>
          </w:p>
        </w:tc>
        <w:tc>
          <w:tcPr/>
          <w:p>
            <w:pPr>
              <w:pStyle w:val="Compact"/>
              <w:jc w:val="left"/>
            </w:pPr>
            <w:r>
              <w:t xml:space="preserve">удельная теплота сгорания топлива</w:t>
            </w:r>
          </w:p>
        </w:tc>
        <w:tc>
          <w:tcPr/>
          <w:p>
            <w:pPr>
              <w:pStyle w:val="Compact"/>
              <w:jc w:val="left"/>
            </w:pPr>
            <m:oMath>
              <m:r>
                <m:t>43</m:t>
              </m:r>
              <m:r>
                <m:rPr>
                  <m:sty m:val="p"/>
                </m:rPr>
                <m:t>,</m:t>
              </m:r>
              <m:r>
                <m:t>64</m:t>
              </m:r>
              <m:r>
                <m:t> </m:t>
              </m:r>
              <m:r>
                <m:rPr>
                  <m:nor/>
                  <m:sty m:val="p"/>
                </m:rPr>
                <m:t>МДж/кг</m:t>
              </m:r>
            </m:oMath>
          </w:p>
        </w:tc>
      </w:tr>
      <w:tr>
        <w:tc>
          <w:tcPr/>
          <w:p>
            <w:pPr>
              <w:pStyle w:val="Compact"/>
              <w:jc w:val="left"/>
            </w:pPr>
            <m:oMath>
              <m:r>
                <m:t>Z</m:t>
              </m:r>
            </m:oMath>
            <w:r>
              <w:t xml:space="preserve"> –</w:t>
            </w:r>
          </w:p>
        </w:tc>
        <w:tc>
          <w:tcPr/>
          <w:p>
            <w:pPr>
              <w:pStyle w:val="Compact"/>
              <w:jc w:val="left"/>
            </w:pPr>
            <w:r>
              <w:t xml:space="preserve">коэффициент участия горючего вещества во взрыве</w:t>
            </w:r>
          </w:p>
        </w:tc>
        <w:tc>
          <w:tcPr/>
          <w:p>
            <w:pPr>
              <w:pStyle w:val="Compact"/>
              <w:jc w:val="left"/>
            </w:pPr>
            <m:oMath>
              <m:r>
                <m:t>1</m:t>
              </m:r>
            </m:oMath>
          </w:p>
        </w:tc>
      </w:tr>
    </w:tbl>
    <w:p>
      <w:pPr>
        <w:pStyle w:val="a0"/>
      </w:pPr>
      <w:r>
        <w:t xml:space="preserve">Так как свободный объём помещения (</w:t>
      </w:r>
      <m:oMath>
        <m:r>
          <m:t>3840</m:t>
        </m:r>
        <m:r>
          <m:t> </m:t>
        </m:r>
        <m:r>
          <m:rPr>
            <m:nor/>
            <m:sty m:val="p"/>
          </m:rPr>
          <m:t>м³</m:t>
        </m:r>
      </m:oMath>
      <w:r>
        <w:t xml:space="preserve">) меньше допустимого (</w:t>
      </w:r>
      <m:oMath>
        <m:r>
          <m:t>5826</m:t>
        </m:r>
        <m:r>
          <m:rPr>
            <m:sty m:val="p"/>
          </m:rPr>
          <m:t>,</m:t>
        </m:r>
        <m:r>
          <m:t>5</m:t>
        </m:r>
        <m:r>
          <m:t> </m:t>
        </m:r>
        <m:r>
          <m:rPr>
            <m:nor/>
            <m:sty m:val="p"/>
          </m:rPr>
          <m:t>м³</m:t>
        </m:r>
      </m:oMath>
      <w:r>
        <w:t xml:space="preserve">), помещение должно быть оборудовано (п.6.12 СП 364.1311500):</w:t>
      </w:r>
    </w:p>
    <w:p>
      <w:pPr>
        <w:pStyle w:val="a0"/>
      </w:pPr>
      <w:r>
        <w:t xml:space="preserve">– непрерывно действующей системой автоматического контроля загазованности, сблокированной с включением общеобменной и аварийной вентиляции;</w:t>
      </w:r>
    </w:p>
    <w:p>
      <w:pPr>
        <w:pStyle w:val="a0"/>
      </w:pPr>
      <w:r>
        <w:t xml:space="preserve">– аварийной вентиляцией кратностью, определяемой расчётом, но не менее 5 объёмов в час с 100% резервированием вентиляторов;</w:t>
      </w:r>
    </w:p>
    <w:p>
      <w:pPr>
        <w:pStyle w:val="a0"/>
      </w:pPr>
      <w:r>
        <w:t xml:space="preserve">– электроснабжением аварийной вентиляции по первой категории надёжности;</w:t>
      </w:r>
    </w:p>
    <w:p>
      <w:pPr>
        <w:pStyle w:val="a0"/>
      </w:pPr>
      <w:r>
        <w:t xml:space="preserve">– взрывозащищённым электрооборудованием, соответствующим зоне 2 класса;</w:t>
      </w:r>
    </w:p>
    <w:p>
      <w:pPr>
        <w:pStyle w:val="a0"/>
      </w:pPr>
      <w:r>
        <w:t xml:space="preserve">– легкосбрасываемыми конструкциями из расчёта 0,05 м² на 1 м³ помещения.</w:t>
      </w:r>
    </w:p>
    <w:bookmarkEnd w:id="46"/>
    <w:bookmarkStart w:id="47" w:name="определение-удельной-пожарной-нагрузки-1"/>
    <w:p>
      <w:pPr>
        <w:pStyle w:val="4"/>
      </w:pPr>
      <w:r>
        <w:t xml:space="preserve">Определение удельной пожарной нагрузки</w:t>
      </w:r>
    </w:p>
    <w:p>
      <w:pPr>
        <w:pStyle w:val="FirstParagraph"/>
      </w:pPr>
      <w:r>
        <w:t xml:space="preserve">Пожарная нагрузка на участке:</w:t>
      </w:r>
    </w:p>
    <w:tbl>
      <w:tblPr>
        <w:tblStyle w:val="Table"/>
        <w:tblW w:type="pct" w:w="5000"/>
        <w:tblLook w:firstRow="1" w:lastRow="0" w:firstColumn="0" w:lastColumn="0" w:noHBand="0" w:noVBand="0" w:val="0020"/>
      </w:tblPr>
      <w:tblGrid>
        <w:gridCol w:w="396"/>
        <w:gridCol w:w="1980"/>
        <w:gridCol w:w="2376"/>
        <w:gridCol w:w="792"/>
        <w:gridCol w:w="1188"/>
        <w:gridCol w:w="1188"/>
      </w:tblGrid>
      <w:tr>
        <w:trPr>
          <w:tblHeader w:val="true"/>
        </w:trPr>
        <w:tc>
          <w:tcPr/>
          <w:p>
            <w:pPr>
              <w:pStyle w:val="Compact"/>
              <w:jc w:val="left"/>
            </w:pPr>
            <w:r>
              <w:t xml:space="preserve">№</w:t>
            </w:r>
          </w:p>
        </w:tc>
        <w:tc>
          <w:tcPr/>
          <w:p>
            <w:pPr>
              <w:pStyle w:val="Compact"/>
              <w:jc w:val="left"/>
            </w:pPr>
            <w:r>
              <w:t xml:space="preserve">Наименование</w:t>
            </w:r>
          </w:p>
        </w:tc>
        <w:tc>
          <w:tcPr/>
          <w:p>
            <w:pPr>
              <w:pStyle w:val="Compact"/>
              <w:jc w:val="left"/>
            </w:pPr>
            <w:r>
              <w:t xml:space="preserve">Горючая нагрузка</w:t>
            </w:r>
          </w:p>
        </w:tc>
        <w:tc>
          <w:tcPr/>
          <w:p>
            <w:pPr>
              <w:pStyle w:val="Compact"/>
              <w:jc w:val="left"/>
            </w:pPr>
            <w:r>
              <w:t xml:space="preserve">Масса</w:t>
            </w:r>
          </w:p>
        </w:tc>
        <w:tc>
          <w:tcPr/>
          <w:p>
            <w:pPr>
              <w:pStyle w:val="Compact"/>
              <w:jc w:val="left"/>
            </w:pPr>
            <w:r>
              <w:t xml:space="preserve">Теплота сгорания</w:t>
            </w:r>
          </w:p>
        </w:tc>
        <w:tc>
          <w:tcPr/>
          <w:p>
            <w:pPr>
              <w:pStyle w:val="Compact"/>
              <w:jc w:val="left"/>
            </w:pPr>
            <w:r>
              <w:t xml:space="preserve">Пожарная нагрузка</w:t>
            </w:r>
          </w:p>
        </w:tc>
      </w:tr>
      <w:tr>
        <w:tc>
          <w:tcPr/>
          <w:p>
            <w:pPr>
              <w:pStyle w:val="Compact"/>
              <w:jc w:val="left"/>
            </w:pPr>
            <w:r>
              <w:t xml:space="preserve">1</w:t>
            </w:r>
          </w:p>
        </w:tc>
        <w:tc>
          <w:tcPr/>
          <w:p>
            <w:pPr>
              <w:pStyle w:val="Compact"/>
              <w:jc w:val="left"/>
            </w:pPr>
            <w:r>
              <w:t xml:space="preserve">Жидкая нагрузка_02</w:t>
            </w:r>
          </w:p>
        </w:tc>
        <w:tc>
          <w:tcPr/>
          <w:p>
            <w:pPr>
              <w:pStyle w:val="Compact"/>
              <w:jc w:val="left"/>
            </w:pPr>
            <w:r>
              <w:t xml:space="preserve">Бензин АИ-93 (летний) (ГОСТ 2084-67)</w:t>
            </w:r>
          </w:p>
        </w:tc>
        <w:tc>
          <w:tcPr/>
          <w:p>
            <w:pPr>
              <w:pStyle w:val="Compact"/>
              <w:jc w:val="left"/>
            </w:pPr>
            <w:r>
              <w:t xml:space="preserve">7,45 кг</w:t>
            </w:r>
          </w:p>
        </w:tc>
        <w:tc>
          <w:tcPr/>
          <w:p>
            <w:pPr>
              <w:pStyle w:val="Compact"/>
              <w:jc w:val="left"/>
            </w:pPr>
            <w:r>
              <w:t xml:space="preserve">43,64 МДж/кг</w:t>
            </w:r>
          </w:p>
        </w:tc>
        <w:tc>
          <w:tcPr/>
          <w:p>
            <w:pPr>
              <w:pStyle w:val="Compact"/>
              <w:jc w:val="left"/>
            </w:pPr>
            <w:r>
              <w:t xml:space="preserve">325,118 МДж</w:t>
            </w:r>
          </w:p>
        </w:tc>
      </w:tr>
      <w:tr>
        <w:tc>
          <w:tcPr/>
          <w:p>
            <w:pPr>
              <w:pStyle w:val="Compact"/>
              <w:jc w:val="left"/>
            </w:pPr>
            <w:r>
              <w:t xml:space="preserve">2</w:t>
            </w:r>
          </w:p>
        </w:tc>
        <w:tc>
          <w:tcPr/>
          <w:p>
            <w:pPr>
              <w:pStyle w:val="Compact"/>
              <w:jc w:val="left"/>
            </w:pPr>
            <w:r>
              <w:t xml:space="preserve">Твердая нагрузка_01</w:t>
            </w:r>
          </w:p>
        </w:tc>
        <w:tc>
          <w:tcPr/>
          <w:p>
            <w:pPr>
              <w:pStyle w:val="Compact"/>
              <w:jc w:val="left"/>
            </w:pPr>
            <w:r>
              <w:t xml:space="preserve">Автомобиль, 0,3*(резина, бензин)+0,15*(ППУ, искожа ПВХ) +0,1*эмаль</w:t>
            </w:r>
          </w:p>
        </w:tc>
        <w:tc>
          <w:tcPr/>
          <w:p>
            <w:pPr>
              <w:pStyle w:val="Compact"/>
              <w:jc w:val="left"/>
            </w:pPr>
            <w:r>
              <w:t xml:space="preserve">500 кг</w:t>
            </w:r>
          </w:p>
        </w:tc>
        <w:tc>
          <w:tcPr/>
          <w:p>
            <w:pPr>
              <w:pStyle w:val="Compact"/>
              <w:jc w:val="left"/>
            </w:pPr>
            <w:r>
              <w:t xml:space="preserve">31,7 МДж/кг</w:t>
            </w:r>
          </w:p>
        </w:tc>
        <w:tc>
          <w:tcPr/>
          <w:p>
            <w:pPr>
              <w:pStyle w:val="Compact"/>
              <w:jc w:val="left"/>
            </w:pPr>
            <w:r>
              <w:t xml:space="preserve">15850 МДж</w:t>
            </w:r>
          </w:p>
        </w:tc>
      </w:tr>
      <w:tr>
        <w:tc>
          <w:tcPr/>
          <w:p>
            <w:pPr>
              <w:pStyle w:val="Compact"/>
            </w:pPr>
          </w:p>
        </w:tc>
        <w:tc>
          <w:tcPr>
            <w:gridSpan w:val="4"/>
          </w:tcPr>
          <w:p>
            <w:pPr>
              <w:pStyle w:val="Compact"/>
              <w:jc w:val="left"/>
            </w:pPr>
            <w:r>
              <w:t xml:space="preserve">Итого:</w:t>
            </w:r>
          </w:p>
        </w:tc>
        <w:tc>
          <w:tcPr/>
          <w:p>
            <w:pPr>
              <w:pStyle w:val="Compact"/>
              <w:jc w:val="left"/>
            </w:pPr>
            <m:oMath>
              <m:r>
                <m:t>16175</m:t>
              </m:r>
              <m:r>
                <m:rPr>
                  <m:sty m:val="p"/>
                </m:rPr>
                <m:t>,</m:t>
              </m:r>
              <m:r>
                <m:t>1</m:t>
              </m:r>
              <m:r>
                <m:t> </m:t>
              </m:r>
              <m:r>
                <m:rPr>
                  <m:nor/>
                  <m:sty m:val="p"/>
                </m:rPr>
                <m:t>МДж</m:t>
              </m:r>
            </m:oMath>
          </w:p>
        </w:tc>
      </w:tr>
    </w:tbl>
    <w:p>
      <w:pPr>
        <w:pStyle w:val="a0"/>
      </w:pPr>
      <w:r>
        <w:t xml:space="preserve">Удельная пожарная нагрузка определяется по формуле:</w:t>
      </w:r>
    </w:p>
    <w:p>
      <w:pPr>
        <w:pStyle w:val="a0"/>
      </w:pPr>
      <m:oMathPara>
        <m:oMathParaPr>
          <m:jc m:val="center"/>
        </m:oMathParaPr>
        <m:oMath>
          <m:r>
            <m:t>g</m:t>
          </m:r>
          <m:r>
            <m:rPr>
              <m:sty m:val="p"/>
            </m:rPr>
            <m:t>=</m:t>
          </m:r>
          <m:r>
            <m:t>Q</m:t>
          </m:r>
          <m:r>
            <m:rPr>
              <m:sty m:val="p"/>
            </m:rPr>
            <m:t>/</m:t>
          </m:r>
          <m:r>
            <m:t>S</m:t>
          </m:r>
          <m:r>
            <m:rPr>
              <m:sty m:val="p"/>
            </m:rPr>
            <m:t>=</m:t>
          </m:r>
          <m:r>
            <m:t>16175</m:t>
          </m:r>
          <m:r>
            <m:rPr>
              <m:sty m:val="p"/>
            </m:rPr>
            <m:t>,</m:t>
          </m:r>
          <m:r>
            <m:t>1</m:t>
          </m:r>
          <m:r>
            <m:rPr>
              <m:sty m:val="p"/>
            </m:rPr>
            <m:t>/</m:t>
          </m:r>
          <m:r>
            <m:t>30</m:t>
          </m:r>
          <m:r>
            <m:rPr>
              <m:sty m:val="p"/>
            </m:rPr>
            <m:t>=</m:t>
          </m:r>
          <m:r>
            <m:t>539</m:t>
          </m:r>
          <m:r>
            <m:rPr>
              <m:sty m:val="p"/>
            </m:rPr>
            <m:t>,</m:t>
          </m:r>
          <m:r>
            <m:t>2</m:t>
          </m:r>
          <m:r>
            <m:t> </m:t>
          </m:r>
          <m:r>
            <m:rPr>
              <m:nor/>
              <m:sty m:val="p"/>
            </m:rPr>
            <m:t>МДж/м²</m:t>
          </m:r>
          <m:r>
            <m:rPr>
              <m:sty m:val="p"/>
            </m:rPr>
            <m:t>,</m:t>
          </m:r>
        </m:oMath>
      </m:oMathPara>
    </w:p>
    <w:p>
      <w:pPr>
        <w:pStyle w:val="FirstParagraph"/>
      </w:pPr>
      <w:r>
        <w:t xml:space="preserve">где:</w:t>
      </w:r>
    </w:p>
    <w:tbl>
      <w:tblPr>
        <w:tblStyle w:val="Table"/>
        <w:tblW w:type="pct" w:w="5000"/>
        <w:tblLook w:firstRow="1" w:lastRow="0" w:firstColumn="0" w:lastColumn="0" w:noHBand="0" w:noVBand="0" w:val="0020"/>
      </w:tblPr>
      <w:tblGrid>
        <w:gridCol w:w="792"/>
        <w:gridCol w:w="5544"/>
        <w:gridCol w:w="1584"/>
      </w:tblGrid>
      <w:tr>
        <w:trPr>
          <w:tblHeader w:val="true"/>
        </w:trPr>
        <w:tc>
          <w:tcPr/>
          <w:p>
            <w:pPr>
              <w:pStyle w:val="Compact"/>
              <w:jc w:val="left"/>
            </w:pPr>
            <m:oMath>
              <m:r>
                <m:t>Q</m:t>
              </m:r>
              <m:r>
                <m:rPr>
                  <m:sty m:val="p"/>
                </m:rPr>
                <m:t>−</m:t>
              </m:r>
            </m:oMath>
          </w:p>
        </w:tc>
        <w:tc>
          <w:tcPr/>
          <w:p>
            <w:pPr>
              <w:pStyle w:val="Compact"/>
              <w:jc w:val="left"/>
            </w:pPr>
            <w:r>
              <w:t xml:space="preserve">суммарная пожарная нагрузка на участке</w:t>
            </w:r>
          </w:p>
        </w:tc>
        <w:tc>
          <w:tcPr/>
          <w:p>
            <w:pPr>
              <w:pStyle w:val="Compact"/>
              <w:jc w:val="left"/>
            </w:pPr>
            <m:oMath>
              <m:r>
                <m:t>16175</m:t>
              </m:r>
              <m:r>
                <m:rPr>
                  <m:sty m:val="p"/>
                </m:rPr>
                <m:t>,</m:t>
              </m:r>
              <m:r>
                <m:t>1</m:t>
              </m:r>
              <m:r>
                <m:t> </m:t>
              </m:r>
              <m:r>
                <m:rPr>
                  <m:nor/>
                  <m:sty m:val="p"/>
                </m:rPr>
                <m:t>МДж</m:t>
              </m:r>
            </m:oMath>
          </w:p>
        </w:tc>
      </w:tr>
      <w:tr>
        <w:tc>
          <w:tcPr/>
          <w:p>
            <w:pPr>
              <w:pStyle w:val="Compact"/>
              <w:jc w:val="left"/>
            </w:pPr>
            <m:oMath>
              <m:r>
                <m:t>S</m:t>
              </m:r>
              <m:r>
                <m:rPr>
                  <m:sty m:val="p"/>
                </m:rPr>
                <m:t>−</m:t>
              </m:r>
            </m:oMath>
          </w:p>
        </w:tc>
        <w:tc>
          <w:tcPr/>
          <w:p>
            <w:pPr>
              <w:pStyle w:val="Compact"/>
              <w:jc w:val="left"/>
            </w:pPr>
            <w:r>
              <w:t xml:space="preserve">площадь участка</w:t>
            </w:r>
          </w:p>
        </w:tc>
        <w:tc>
          <w:tcPr/>
          <w:p>
            <w:pPr>
              <w:pStyle w:val="Compact"/>
              <w:jc w:val="left"/>
            </w:pPr>
            <m:oMath>
              <m:r>
                <m:t>30</m:t>
              </m:r>
              <m:r>
                <m:t> </m:t>
              </m:r>
              <m:r>
                <m:rPr>
                  <m:nor/>
                  <m:sty m:val="p"/>
                </m:rPr>
                <m:t>м²</m:t>
              </m:r>
            </m:oMath>
          </w:p>
        </w:tc>
      </w:tr>
    </w:tbl>
    <w:bookmarkEnd w:id="47"/>
    <w:bookmarkStart w:id="48" w:name="проверка-условия-б.5-сп-12"/>
    <w:p>
      <w:pPr>
        <w:pStyle w:val="4"/>
      </w:pPr>
      <w:r>
        <w:t xml:space="preserve">Проверка условия (Б.5) СП 12</w:t>
      </w:r>
    </w:p>
    <w:p>
      <w:pPr>
        <w:pStyle w:val="FirstParagraph"/>
      </w:pPr>
      <w:r>
        <w:t xml:space="preserve">Если при определении категорий В2 или В3 количество пожарной нагрузки</w:t>
      </w:r>
      <w:r>
        <w:t xml:space="preserve"> </w:t>
      </w:r>
      <m:oMath>
        <m:r>
          <m:t>Q</m:t>
        </m:r>
      </m:oMath>
      <w:r>
        <w:t xml:space="preserve">, определённое по формуле (Б.2), отвечает неравенству</w:t>
      </w:r>
      <w:r>
        <w:t xml:space="preserve"> </w:t>
      </w:r>
      <m:oMath>
        <m:r>
          <m:t>Q</m:t>
        </m:r>
        <m:r>
          <m:rPr>
            <m:sty m:val="p"/>
          </m:rPr>
          <m:t>≥</m:t>
        </m:r>
        <m:r>
          <m:t>0</m:t>
        </m:r>
        <m:r>
          <m:rPr>
            <m:sty m:val="p"/>
          </m:rPr>
          <m:t>,</m:t>
        </m:r>
        <m:r>
          <m:t>64</m:t>
        </m:r>
        <m:sSub>
          <m:e>
            <m:r>
              <m:t>g</m:t>
            </m:r>
          </m:e>
          <m:sub>
            <m:r>
              <m:t>т</m:t>
            </m:r>
          </m:sub>
        </m:sSub>
        <m:sSup>
          <m:e>
            <m:r>
              <m:t>H</m:t>
            </m:r>
          </m:e>
          <m:sup>
            <m:r>
              <m:t>2</m:t>
            </m:r>
          </m:sup>
        </m:sSup>
      </m:oMath>
      <w:r>
        <w:t xml:space="preserve">, то помещение будет относиться к категориям В1 или В2 соответственно.</w:t>
      </w:r>
    </w:p>
    <w:p>
      <w:pPr>
        <w:pStyle w:val="a0"/>
      </w:pPr>
      <m:oMath>
        <m:r>
          <m:t>Q</m:t>
        </m:r>
        <m:r>
          <m:rPr>
            <m:sty m:val="p"/>
          </m:rPr>
          <m:t>=</m:t>
        </m:r>
        <m:r>
          <m:t>16175</m:t>
        </m:r>
        <m:r>
          <m:rPr>
            <m:sty m:val="p"/>
          </m:rPr>
          <m:t>,</m:t>
        </m:r>
        <m:r>
          <m:t>1</m:t>
        </m:r>
        <m:r>
          <m:t> </m:t>
        </m:r>
        <m:r>
          <m:rPr>
            <m:nor/>
            <m:sty m:val="p"/>
          </m:rPr>
          <m:t>МДж</m:t>
        </m:r>
      </m:oMath>
      <w:r>
        <w:t xml:space="preserve">;</w:t>
      </w:r>
      <w:r>
        <w:t xml:space="preserve"> </w:t>
      </w:r>
      <m:oMath>
        <m:r>
          <m:t>0</m:t>
        </m:r>
        <m:r>
          <m:rPr>
            <m:sty m:val="p"/>
          </m:rPr>
          <m:t>,</m:t>
        </m:r>
        <m:r>
          <m:t>64</m:t>
        </m:r>
        <m:sSub>
          <m:e>
            <m:r>
              <m:t>g</m:t>
            </m:r>
          </m:e>
          <m:sub>
            <m:r>
              <m:t>т</m:t>
            </m:r>
          </m:sub>
        </m:sSub>
        <m:sSup>
          <m:e>
            <m:r>
              <m:t>H</m:t>
            </m:r>
          </m:e>
          <m:sup>
            <m:r>
              <m:t>2</m:t>
            </m:r>
          </m:sup>
        </m:sSup>
        <m:r>
          <m:rPr>
            <m:sty m:val="p"/>
          </m:rPr>
          <m:t>=</m:t>
        </m:r>
        <m:r>
          <m:t>0</m:t>
        </m:r>
        <m:r>
          <m:rPr>
            <m:sty m:val="p"/>
          </m:rPr>
          <m:t>,</m:t>
        </m:r>
        <m:r>
          <m:t>64</m:t>
        </m:r>
        <m:r>
          <m:rPr>
            <m:sty m:val="p"/>
          </m:rPr>
          <m:t>⋅</m:t>
        </m:r>
        <m:r>
          <m:t>1400</m:t>
        </m:r>
        <m:r>
          <m:rPr>
            <m:sty m:val="p"/>
          </m:rPr>
          <m:t>⋅</m:t>
        </m:r>
        <m:sSup>
          <m:e>
            <m:r>
              <m:t>6</m:t>
            </m:r>
          </m:e>
          <m:sup>
            <m:r>
              <m:t>2</m:t>
            </m:r>
          </m:sup>
        </m:sSup>
        <m:r>
          <m:rPr>
            <m:sty m:val="p"/>
          </m:rPr>
          <m:t>=</m:t>
        </m:r>
        <m:r>
          <m:t>32256</m:t>
        </m:r>
      </m:oMath>
      <w:r>
        <w:t xml:space="preserve"> МДж.</w:t>
      </w:r>
    </w:p>
    <w:p>
      <w:pPr>
        <w:pStyle w:val="a0"/>
      </w:pPr>
      <w:r>
        <w:t xml:space="preserve">Условие не выполняется.</w:t>
      </w:r>
    </w:p>
    <w:bookmarkEnd w:id="48"/>
    <w:bookmarkEnd w:id="49"/>
    <w:bookmarkStart w:id="53" w:name="определение-категории-помещения-2"/>
    <w:p>
      <w:pPr>
        <w:pStyle w:val="3"/>
      </w:pPr>
      <w:r>
        <w:t xml:space="preserve">Определение категории помещения</w:t>
      </w:r>
    </w:p>
    <w:p>
      <w:pPr>
        <w:pStyle w:val="FirstParagraph"/>
      </w:pPr>
      <w:r>
        <w:t xml:space="preserve">Расчётные характеристики участков:</w:t>
      </w:r>
    </w:p>
    <w:tbl>
      <w:tblPr>
        <w:tblStyle w:val="Table"/>
        <w:tblW w:type="pct" w:w="5000"/>
        <w:tblLook w:firstRow="1" w:lastRow="0" w:firstColumn="0" w:lastColumn="0" w:noHBand="0" w:noVBand="0" w:val="0020"/>
      </w:tblPr>
      <w:tblGrid>
        <w:gridCol w:w="2639"/>
        <w:gridCol w:w="2639"/>
        <w:gridCol w:w="2639"/>
      </w:tblGrid>
      <w:tr>
        <w:trPr>
          <w:tblHeader w:val="true"/>
        </w:trPr>
        <w:tc>
          <w:tcPr/>
          <w:p>
            <w:pPr>
              <w:pStyle w:val="Compact"/>
              <w:jc w:val="left"/>
            </w:pPr>
            <w:r>
              <w:t xml:space="preserve">Наименование</w:t>
            </w:r>
          </w:p>
        </w:tc>
        <w:tc>
          <w:tcPr/>
          <w:p>
            <w:pPr>
              <w:pStyle w:val="Compact"/>
              <w:jc w:val="left"/>
            </w:pPr>
            <m:oMath>
              <m:r>
                <m:t>g</m:t>
              </m:r>
            </m:oMath>
          </w:p>
        </w:tc>
        <w:tc>
          <w:tcPr/>
          <w:p>
            <w:pPr>
              <w:pStyle w:val="Compact"/>
              <w:jc w:val="left"/>
            </w:pPr>
            <m:oMath>
              <m:r>
                <m:t>Q</m:t>
              </m:r>
              <m:r>
                <m:rPr>
                  <m:sty m:val="p"/>
                </m:rPr>
                <m:t>≥</m:t>
              </m:r>
              <m:r>
                <m:t>0</m:t>
              </m:r>
              <m:r>
                <m:rPr>
                  <m:sty m:val="p"/>
                </m:rPr>
                <m:t>,</m:t>
              </m:r>
              <m:r>
                <m:t>64</m:t>
              </m:r>
              <m:sSub>
                <m:e>
                  <m:r>
                    <m:t>g</m:t>
                  </m:r>
                </m:e>
                <m:sub>
                  <m:r>
                    <m:t>т</m:t>
                  </m:r>
                </m:sub>
              </m:sSub>
              <m:r>
                <m:t>H</m:t>
              </m:r>
              <m:r>
                <m:rPr>
                  <m:sty m:val="p"/>
                </m:rPr>
                <m:t>²</m:t>
              </m:r>
            </m:oMath>
          </w:p>
        </w:tc>
      </w:tr>
      <w:tr>
        <w:tc>
          <w:tcPr/>
          <w:p>
            <w:pPr>
              <w:pStyle w:val="Compact"/>
              <w:jc w:val="left"/>
            </w:pPr>
            <w:r>
              <w:t xml:space="preserve">Участок_05</w:t>
            </w:r>
          </w:p>
        </w:tc>
        <w:tc>
          <w:tcPr/>
          <w:p>
            <w:pPr>
              <w:pStyle w:val="Compact"/>
              <w:jc w:val="left"/>
            </w:pPr>
            <w:r>
              <w:t xml:space="preserve">539,2 МДж/м²</w:t>
            </w:r>
          </w:p>
        </w:tc>
        <w:tc>
          <w:tcPr/>
          <w:p>
            <w:pPr>
              <w:pStyle w:val="Compact"/>
              <w:jc w:val="left"/>
            </w:pPr>
            <w:r>
              <w:t xml:space="preserve">Нет</w:t>
            </w:r>
          </w:p>
        </w:tc>
      </w:tr>
    </w:tbl>
    <w:p>
      <w:pPr>
        <w:pStyle w:val="a0"/>
      </w:pPr>
      <w:r>
        <w:t xml:space="preserve">где:</w:t>
      </w:r>
      <w:r>
        <w:t xml:space="preserve"> </w:t>
      </w:r>
      <m:oMath>
        <m:r>
          <m:t>g</m:t>
        </m:r>
      </m:oMath>
      <w:r>
        <w:t xml:space="preserve"> </w:t>
      </w:r>
      <w:r>
        <w:t xml:space="preserve">– удельная пожарная нагрузка на участке, определяемая по формуле (Б.2) СП 12.13130.2009;</w:t>
      </w:r>
    </w:p>
    <w:p>
      <w:pPr>
        <w:pStyle w:val="a0"/>
      </w:pPr>
      <w:r>
        <w:t xml:space="preserve">«</w:t>
      </w:r>
      <m:oMath>
        <m:r>
          <m:t>Q</m:t>
        </m:r>
        <m:r>
          <m:rPr>
            <m:sty m:val="p"/>
          </m:rPr>
          <m:t>≥</m:t>
        </m:r>
        <m:r>
          <m:t>0</m:t>
        </m:r>
        <m:r>
          <m:rPr>
            <m:sty m:val="p"/>
          </m:rPr>
          <m:t>,</m:t>
        </m:r>
        <m:r>
          <m:t>64</m:t>
        </m:r>
        <m:sSub>
          <m:e>
            <m:r>
              <m:t>g</m:t>
            </m:r>
          </m:e>
          <m:sub>
            <m:r>
              <m:t>т</m:t>
            </m:r>
          </m:sub>
        </m:sSub>
        <m:r>
          <m:t>H</m:t>
        </m:r>
        <m:r>
          <m:rPr>
            <m:sty m:val="p"/>
          </m:rPr>
          <m:t>²</m:t>
        </m:r>
      </m:oMath>
      <w:r>
        <w:t xml:space="preserve">» – выполняется ли условие (Б.5) СП 12.13130.2009.</w:t>
      </w:r>
    </w:p>
    <w:p>
      <w:pPr>
        <w:pStyle w:val="a0"/>
      </w:pPr>
      <w:r>
        <w:t xml:space="preserve">Вывод: согласно п.п. Б.1, Б.2 СП 12.13130.2009, поскольку 180 &lt; g ≤ 1400 МДж/м² и не выполняется условие</w:t>
      </w:r>
      <w:r>
        <w:t xml:space="preserve"> </w:t>
      </w:r>
      <m:oMath>
        <m:r>
          <m:t>Q</m:t>
        </m:r>
        <m:r>
          <m:rPr>
            <m:sty m:val="p"/>
          </m:rPr>
          <m:t>≥</m:t>
        </m:r>
        <m:r>
          <m:t>0</m:t>
        </m:r>
        <m:r>
          <m:rPr>
            <m:sty m:val="p"/>
          </m:rPr>
          <m:t>,</m:t>
        </m:r>
        <m:r>
          <m:t>64</m:t>
        </m:r>
        <m:sSub>
          <m:e>
            <m:r>
              <m:t>g</m:t>
            </m:r>
          </m:e>
          <m:sub>
            <m:r>
              <m:t>т</m:t>
            </m:r>
          </m:sub>
        </m:sSub>
        <m:r>
          <m:t>H</m:t>
        </m:r>
        <m:r>
          <m:rPr>
            <m:sty m:val="p"/>
          </m:rPr>
          <m:t>²</m:t>
        </m:r>
      </m:oMath>
      <w:r>
        <w:t xml:space="preserve">, помещение относится к категории В3.</w:t>
      </w:r>
    </w:p>
    <w:p>
      <w:pPr>
        <w:pStyle w:val="CaptionedFigure"/>
      </w:pPr>
      <w:r>
        <w:drawing>
          <wp:inline>
            <wp:extent cx="5759999" cy="3839999"/>
            <wp:effectExtent b="0" l="0" r="0" t="0"/>
            <wp:docPr descr="Определение категории помещения" title="" id="51" name="Picture"/>
            <a:graphic>
              <a:graphicData uri="http://schemas.openxmlformats.org/drawingml/2006/picture">
                <pic:pic>
                  <pic:nvPicPr>
                    <pic:cNvPr descr="C:\Users\Надя\AppData\Local\Temp\tmp3BE9.tmp" id="52" name="Picture"/>
                    <pic:cNvPicPr>
                      <a:picLocks noChangeArrowheads="1" noChangeAspect="1"/>
                    </pic:cNvPicPr>
                  </pic:nvPicPr>
                  <pic:blipFill>
                    <a:blip r:embed="rId50"/>
                    <a:stretch>
                      <a:fillRect/>
                    </a:stretch>
                  </pic:blipFill>
                  <pic:spPr bwMode="auto">
                    <a:xfrm>
                      <a:off x="0" y="0"/>
                      <a:ext cx="5759999" cy="3839999"/>
                    </a:xfrm>
                    <a:prstGeom prst="rect">
                      <a:avLst/>
                    </a:prstGeom>
                    <a:noFill/>
                    <a:ln w="9525">
                      <a:noFill/>
                      <a:headEnd/>
                      <a:tailEnd/>
                    </a:ln>
                  </pic:spPr>
                </pic:pic>
              </a:graphicData>
            </a:graphic>
          </wp:inline>
        </w:drawing>
      </w:r>
    </w:p>
    <w:p>
      <w:pPr>
        <w:pStyle w:val="ImageCaption"/>
      </w:pPr>
      <w:r>
        <w:t xml:space="preserve">Определение категории помещения</w:t>
      </w:r>
    </w:p>
    <w:bookmarkEnd w:id="53"/>
    <w:bookmarkStart w:id="54" w:name="X79c60ebb093b257afd09322886f287d1686e4e9"/>
    <w:p>
      <w:pPr>
        <w:pStyle w:val="3"/>
      </w:pPr>
      <w:r>
        <w:t xml:space="preserve">Определение класса зоны помещения по ПУЭ</w:t>
      </w:r>
    </w:p>
    <w:p>
      <w:pPr>
        <w:pStyle w:val="FirstParagraph"/>
      </w:pPr>
      <w:r>
        <w:t xml:space="preserve">Согласно п. 7.3.38 ПУЭ, класс взрывоопасной зоны определяется технологами совместно с электриками проектной или эксплуатирующей организации.</w:t>
      </w:r>
    </w:p>
    <w:p>
      <w:pPr>
        <w:pStyle w:val="a0"/>
      </w:pPr>
      <w:r>
        <w:t xml:space="preserve">Согласно п. 7.3.41 ПУЭ, зоны, расположенные в помещениях, в которых при нормальной эксплуатации взрывоопасные смеси горючих газов или паров ЛВЖ с воздухом не образуются, а возможны только в результате аварий или неисправностей,</w:t>
      </w:r>
      <w:r>
        <w:t xml:space="preserve"> </w:t>
      </w:r>
      <w:r>
        <w:rPr>
          <w:bCs/>
          <w:b/>
        </w:rPr>
        <w:t xml:space="preserve">относятся к классу В-Iа</w:t>
      </w:r>
      <w:r>
        <w:t xml:space="preserve">.</w:t>
      </w:r>
    </w:p>
    <w:p>
      <w:pPr>
        <w:pStyle w:val="a0"/>
      </w:pPr>
      <w:r>
        <w:t xml:space="preserve">При определении размеров взрывоопасных зон принимается, что (п. 7.3.39 ПУЭ):</w:t>
      </w:r>
    </w:p>
    <w:p>
      <w:pPr>
        <w:pStyle w:val="a0"/>
      </w:pPr>
      <w:r>
        <w:t xml:space="preserve">а) взрывоопасная зона в помещении занимает весь объём помещения, если объём взрывоопасной смеси превышает 5% свободного объёма помещения;</w:t>
      </w:r>
    </w:p>
    <w:p>
      <w:pPr>
        <w:pStyle w:val="a0"/>
      </w:pPr>
      <w:r>
        <w:t xml:space="preserve">б) взрывоопасной считается зона в помещении в пределах до 5 м по горизонтали и вертикали от технологического аппарата, из которого возможно выделение горючих газов или паров ЛВЖ, если объём взрывоопасной смеси равен или менее 5% свободного объёма помещения.</w:t>
      </w:r>
    </w:p>
    <w:bookmarkEnd w:id="54"/>
    <w:bookmarkStart w:id="55" w:name="Xe241b340c0c5581bd24c99ff5d299f3d2d513c7"/>
    <w:p>
      <w:pPr>
        <w:pStyle w:val="3"/>
      </w:pPr>
      <w:r>
        <w:t xml:space="preserve">Определение класса зоны помещения по ФЗ № 123</w:t>
      </w:r>
    </w:p>
    <w:p>
      <w:pPr>
        <w:pStyle w:val="FirstParagraph"/>
      </w:pPr>
      <w:r>
        <w:t xml:space="preserve">Согласно ст. 19 «Технического регламента о требованиях пожарной безопасности», зоны, в которых при нормальном режиме работы оборудования не образуются взрывоопасные смеси газов или паров жидкостей с воздухом, но возможно образование такой взрывоопасной смеси газов или паров жидкостей с воздухом только в результате аварии или повреждения технологического оборудования,</w:t>
      </w:r>
      <w:r>
        <w:t xml:space="preserve"> </w:t>
      </w:r>
      <w:r>
        <w:rPr>
          <w:bCs/>
          <w:b/>
        </w:rPr>
        <w:t xml:space="preserve">относятся к классу 2</w:t>
      </w:r>
      <w:r>
        <w:t xml:space="preserve">.</w:t>
      </w:r>
    </w:p>
    <w:bookmarkEnd w:id="55"/>
    <w:bookmarkEnd w:id="56"/>
    <w:bookmarkStart w:id="62" w:name="X88f2ed70b5f8316beddaea457b7b59450c57e28"/>
    <w:p>
      <w:pPr>
        <w:pStyle w:val="2"/>
      </w:pPr>
      <w:r>
        <w:t xml:space="preserve">Этаж 2. Помещение «Помещение складирования ацетона»</w:t>
      </w:r>
    </w:p>
    <w:tbl>
      <w:tblPr>
        <w:tblStyle w:val="Table"/>
        <w:tblW w:type="pct" w:w="5000"/>
        <w:tblLook w:firstRow="1" w:lastRow="0" w:firstColumn="0" w:lastColumn="0" w:noHBand="0" w:noVBand="0" w:val="0020"/>
      </w:tblPr>
      <w:tblGrid>
        <w:gridCol w:w="5544"/>
        <w:gridCol w:w="2376"/>
      </w:tblGrid>
      <w:tr>
        <w:trPr>
          <w:tblHeader w:val="true"/>
        </w:trPr>
        <w:tc>
          <w:tcPr/>
          <w:p>
            <w:pPr>
              <w:pStyle w:val="Compact"/>
              <w:jc w:val="left"/>
            </w:pPr>
            <w:r>
              <w:t xml:space="preserve">Описание</w:t>
            </w:r>
          </w:p>
        </w:tc>
        <w:tc>
          <w:tcPr/>
          <w:p>
            <w:pPr>
              <w:pStyle w:val="Compact"/>
              <w:jc w:val="left"/>
            </w:pPr>
            <w:r>
              <w:t xml:space="preserve">В помещении хранится десять бочек с ацетоном</w:t>
            </w:r>
          </w:p>
        </w:tc>
      </w:tr>
      <w:tr>
        <w:tc>
          <w:tcPr/>
          <w:p>
            <w:pPr>
              <w:pStyle w:val="Compact"/>
              <w:jc w:val="left"/>
            </w:pPr>
            <w:r>
              <w:t xml:space="preserve">Площадь</w:t>
            </w:r>
          </w:p>
        </w:tc>
        <w:tc>
          <w:tcPr/>
          <w:p>
            <w:pPr>
              <w:pStyle w:val="Compact"/>
              <w:jc w:val="left"/>
            </w:pPr>
            <w:r>
              <w:t xml:space="preserve">72 м²</w:t>
            </w:r>
          </w:p>
        </w:tc>
      </w:tr>
      <w:tr>
        <w:tc>
          <w:tcPr/>
          <w:p>
            <w:pPr>
              <w:pStyle w:val="Compact"/>
              <w:jc w:val="left"/>
            </w:pPr>
            <w:r>
              <w:t xml:space="preserve">Длина</w:t>
            </w:r>
          </w:p>
        </w:tc>
        <w:tc>
          <w:tcPr/>
          <w:p>
            <w:pPr>
              <w:pStyle w:val="Compact"/>
              <w:jc w:val="left"/>
            </w:pPr>
            <w:r>
              <w:t xml:space="preserve">12 м</w:t>
            </w:r>
          </w:p>
        </w:tc>
      </w:tr>
      <w:tr>
        <w:tc>
          <w:tcPr/>
          <w:p>
            <w:pPr>
              <w:pStyle w:val="Compact"/>
              <w:jc w:val="left"/>
            </w:pPr>
            <w:r>
              <w:t xml:space="preserve">Ширина</w:t>
            </w:r>
          </w:p>
        </w:tc>
        <w:tc>
          <w:tcPr/>
          <w:p>
            <w:pPr>
              <w:pStyle w:val="Compact"/>
              <w:jc w:val="left"/>
            </w:pPr>
            <w:r>
              <w:t xml:space="preserve">6 м</w:t>
            </w:r>
          </w:p>
        </w:tc>
      </w:tr>
      <w:tr>
        <w:tc>
          <w:tcPr/>
          <w:p>
            <w:pPr>
              <w:pStyle w:val="Compact"/>
              <w:jc w:val="left"/>
            </w:pPr>
            <w:r>
              <w:t xml:space="preserve">Высота</w:t>
            </w:r>
          </w:p>
        </w:tc>
        <w:tc>
          <w:tcPr/>
          <w:p>
            <w:pPr>
              <w:pStyle w:val="Compact"/>
              <w:jc w:val="left"/>
            </w:pPr>
            <w:r>
              <w:t xml:space="preserve">6 м</w:t>
            </w:r>
          </w:p>
        </w:tc>
      </w:tr>
      <w:tr>
        <w:tc>
          <w:tcPr/>
          <w:p>
            <w:pPr>
              <w:pStyle w:val="Compact"/>
              <w:jc w:val="left"/>
            </w:pPr>
            <w:r>
              <w:t xml:space="preserve">Уровень нижнего пояса ферм перекрытия (покрытия)</w:t>
            </w:r>
          </w:p>
        </w:tc>
        <w:tc>
          <w:tcPr/>
          <w:p>
            <w:pPr>
              <w:pStyle w:val="Compact"/>
              <w:jc w:val="left"/>
            </w:pPr>
            <w:r>
              <w:t xml:space="preserve">6 м</w:t>
            </w:r>
          </w:p>
        </w:tc>
      </w:tr>
      <w:tr>
        <w:tc>
          <w:tcPr/>
          <w:p>
            <w:pPr>
              <w:pStyle w:val="Compact"/>
              <w:jc w:val="left"/>
            </w:pPr>
            <w:r>
              <w:t xml:space="preserve">Расчётная температура воздуха</w:t>
            </w:r>
          </w:p>
        </w:tc>
        <w:tc>
          <w:tcPr/>
          <w:p>
            <w:pPr>
              <w:pStyle w:val="Compact"/>
              <w:jc w:val="left"/>
            </w:pPr>
            <w:r>
              <w:t xml:space="preserve">30 °C</w:t>
            </w:r>
          </w:p>
        </w:tc>
      </w:tr>
      <w:tr>
        <w:tc>
          <w:tcPr/>
          <w:p>
            <w:pPr>
              <w:pStyle w:val="Compact"/>
              <w:jc w:val="left"/>
            </w:pPr>
            <w:r>
              <w:t xml:space="preserve">Имеется автоматическое пожаротушение</w:t>
            </w:r>
          </w:p>
        </w:tc>
        <w:tc>
          <w:tcPr/>
          <w:p>
            <w:pPr>
              <w:pStyle w:val="Compact"/>
              <w:jc w:val="left"/>
            </w:pPr>
            <w:r>
              <w:t xml:space="preserve">да</w:t>
            </w:r>
          </w:p>
        </w:tc>
      </w:tr>
      <w:tr>
        <w:tc>
          <w:tcPr/>
          <w:p>
            <w:pPr>
              <w:pStyle w:val="Compact"/>
              <w:jc w:val="left"/>
            </w:pPr>
            <w:r>
              <w:t xml:space="preserve">Имеется аварийная вентиляция</w:t>
            </w:r>
          </w:p>
        </w:tc>
        <w:tc>
          <w:tcPr/>
          <w:p>
            <w:pPr>
              <w:pStyle w:val="Compact"/>
              <w:jc w:val="left"/>
            </w:pPr>
            <w:r>
              <w:t xml:space="preserve">нет</w:t>
            </w:r>
          </w:p>
        </w:tc>
      </w:tr>
      <w:tr>
        <w:tc>
          <w:tcPr/>
          <w:p>
            <w:pPr>
              <w:pStyle w:val="Compact"/>
              <w:jc w:val="left"/>
            </w:pPr>
            <w:r>
              <w:t xml:space="preserve">Категория</w:t>
            </w:r>
          </w:p>
        </w:tc>
        <w:tc>
          <w:tcPr/>
          <w:p>
            <w:pPr>
              <w:pStyle w:val="Compact"/>
              <w:jc w:val="left"/>
            </w:pPr>
            <w:r>
              <w:t xml:space="preserve">А</w:t>
            </w:r>
          </w:p>
        </w:tc>
      </w:tr>
      <w:tr>
        <w:tc>
          <w:tcPr/>
          <w:p>
            <w:pPr>
              <w:pStyle w:val="Compact"/>
              <w:jc w:val="left"/>
            </w:pPr>
            <w:r>
              <w:t xml:space="preserve">Класс зоны по ПУЭ</w:t>
            </w:r>
          </w:p>
        </w:tc>
        <w:tc>
          <w:tcPr/>
          <w:p>
            <w:pPr>
              <w:pStyle w:val="Compact"/>
              <w:jc w:val="left"/>
            </w:pPr>
            <w:r>
              <w:t xml:space="preserve">В-Iа</w:t>
            </w:r>
          </w:p>
        </w:tc>
      </w:tr>
      <w:tr>
        <w:tc>
          <w:tcPr/>
          <w:p>
            <w:pPr>
              <w:pStyle w:val="Compact"/>
              <w:jc w:val="left"/>
            </w:pPr>
            <w:r>
              <w:t xml:space="preserve">Класс зоны по ФЗ №123</w:t>
            </w:r>
          </w:p>
        </w:tc>
        <w:tc>
          <w:tcPr/>
          <w:p>
            <w:pPr>
              <w:pStyle w:val="Compact"/>
              <w:jc w:val="left"/>
            </w:pPr>
            <w:r>
              <w:t xml:space="preserve">2</w:t>
            </w:r>
          </w:p>
        </w:tc>
      </w:tr>
    </w:tbl>
    <w:bookmarkStart w:id="58" w:name="участок-участок_02"/>
    <w:p>
      <w:pPr>
        <w:pStyle w:val="3"/>
      </w:pPr>
      <w:r>
        <w:t xml:space="preserve">Участок «Участок_02»</w:t>
      </w:r>
    </w:p>
    <w:tbl>
      <w:tblPr>
        <w:tblStyle w:val="Table"/>
        <w:tblW w:type="pct" w:w="5000"/>
        <w:tblLook w:firstRow="1" w:lastRow="0" w:firstColumn="0" w:lastColumn="0" w:noHBand="0" w:noVBand="0" w:val="0020"/>
      </w:tblPr>
      <w:tblGrid>
        <w:gridCol w:w="5544"/>
        <w:gridCol w:w="2376"/>
      </w:tblGrid>
      <w:tr>
        <w:trPr>
          <w:tblHeader w:val="true"/>
        </w:trPr>
        <w:tc>
          <w:tcPr/>
          <w:p>
            <w:pPr>
              <w:pStyle w:val="Compact"/>
              <w:jc w:val="left"/>
            </w:pPr>
            <w:r>
              <w:t xml:space="preserve">Площадь</w:t>
            </w:r>
          </w:p>
        </w:tc>
        <w:tc>
          <w:tcPr/>
          <w:p>
            <w:pPr>
              <w:pStyle w:val="Compact"/>
              <w:jc w:val="left"/>
            </w:pPr>
            <w:r>
              <w:t xml:space="preserve">30 м²</w:t>
            </w:r>
          </w:p>
        </w:tc>
      </w:tr>
      <w:tr>
        <w:tc>
          <w:tcPr/>
          <w:p>
            <w:pPr>
              <w:pStyle w:val="Compact"/>
              <w:jc w:val="left"/>
            </w:pPr>
            <w:r>
              <w:t xml:space="preserve">Высота</w:t>
            </w:r>
          </w:p>
        </w:tc>
        <w:tc>
          <w:tcPr/>
          <w:p>
            <w:pPr>
              <w:pStyle w:val="Compact"/>
              <w:jc w:val="left"/>
            </w:pPr>
            <w:r>
              <w:t xml:space="preserve">0 м</w:t>
            </w:r>
          </w:p>
        </w:tc>
      </w:tr>
    </w:tbl>
    <w:bookmarkStart w:id="57" w:name="жидкая-нагрузка_01"/>
    <w:p>
      <w:pPr>
        <w:pStyle w:val="4"/>
      </w:pPr>
      <w:r>
        <w:t xml:space="preserve">«Жидкая нагрузка_01»</w:t>
      </w:r>
    </w:p>
    <w:p>
      <w:pPr>
        <w:pStyle w:val="FirstParagraph"/>
      </w:pPr>
      <w:r>
        <w:t xml:space="preserve">Свойства горючей нагрузки:</w:t>
      </w:r>
    </w:p>
    <w:tbl>
      <w:tblPr>
        <w:tblStyle w:val="Table"/>
        <w:tblW w:type="pct" w:w="5000"/>
        <w:tblLook w:firstRow="1" w:lastRow="0" w:firstColumn="0" w:lastColumn="0" w:noHBand="0" w:noVBand="0" w:val="0020"/>
      </w:tblPr>
      <w:tblGrid>
        <w:gridCol w:w="5544"/>
        <w:gridCol w:w="2376"/>
      </w:tblGrid>
      <w:tr>
        <w:trPr>
          <w:tblHeader w:val="true"/>
        </w:trPr>
        <w:tc>
          <w:tcPr/>
          <w:p>
            <w:pPr>
              <w:pStyle w:val="Compact"/>
              <w:jc w:val="left"/>
            </w:pPr>
            <w:r>
              <w:t xml:space="preserve">Горючая нагрузка</w:t>
            </w:r>
          </w:p>
        </w:tc>
        <w:tc>
          <w:tcPr/>
          <w:p>
            <w:pPr>
              <w:pStyle w:val="Compact"/>
              <w:jc w:val="left"/>
            </w:pPr>
            <w:r>
              <w:t xml:space="preserve">Ацетон</w:t>
            </w:r>
          </w:p>
        </w:tc>
      </w:tr>
      <w:tr>
        <w:tc>
          <w:tcPr/>
          <w:p>
            <w:pPr>
              <w:pStyle w:val="Compact"/>
              <w:jc w:val="left"/>
            </w:pPr>
            <w:r>
              <w:t xml:space="preserve">Возможность образования взрывоопасной смеси</w:t>
            </w:r>
          </w:p>
        </w:tc>
        <w:tc>
          <w:tcPr/>
          <w:p>
            <w:pPr>
              <w:pStyle w:val="Compact"/>
              <w:jc w:val="left"/>
            </w:pPr>
            <w:r>
              <w:t xml:space="preserve">только в результате аварий или неисправностей</w:t>
            </w:r>
          </w:p>
        </w:tc>
      </w:tr>
      <w:tr>
        <w:tc>
          <w:tcPr/>
          <w:p>
            <w:pPr>
              <w:pStyle w:val="Compact"/>
              <w:jc w:val="left"/>
            </w:pPr>
            <w:r>
              <w:t xml:space="preserve">Наличие особенностей, приведённых в п.7.3.42 ПУЭ</w:t>
            </w:r>
          </w:p>
        </w:tc>
        <w:tc>
          <w:tcPr/>
          <w:p>
            <w:pPr>
              <w:pStyle w:val="Compact"/>
              <w:jc w:val="left"/>
            </w:pPr>
            <w:r>
              <w:t xml:space="preserve">нет</w:t>
            </w:r>
          </w:p>
        </w:tc>
      </w:tr>
      <w:tr>
        <w:tc>
          <w:tcPr/>
          <w:p>
            <w:pPr>
              <w:pStyle w:val="Compact"/>
              <w:jc w:val="left"/>
            </w:pPr>
            <w:r>
              <w:t xml:space="preserve">Объём аварийного аппарата</w:t>
            </w:r>
          </w:p>
        </w:tc>
        <w:tc>
          <w:tcPr/>
          <w:p>
            <w:pPr>
              <w:pStyle w:val="Compact"/>
              <w:jc w:val="left"/>
            </w:pPr>
            <w:r>
              <w:t xml:space="preserve">0,08 м³</w:t>
            </w:r>
          </w:p>
        </w:tc>
      </w:tr>
      <w:tr>
        <w:tc>
          <w:tcPr/>
          <w:p>
            <w:pPr>
              <w:pStyle w:val="Compact"/>
              <w:jc w:val="left"/>
            </w:pPr>
            <w:r>
              <w:t xml:space="preserve">Общий объём горючего вещества во всех аппаратах (рассматривается при определении категории В1-В4)</w:t>
            </w:r>
          </w:p>
        </w:tc>
        <w:tc>
          <w:tcPr/>
          <w:p>
            <w:pPr>
              <w:pStyle w:val="Compact"/>
              <w:jc w:val="left"/>
            </w:pPr>
            <w:r>
              <w:t xml:space="preserve">50 м³</w:t>
            </w:r>
          </w:p>
        </w:tc>
      </w:tr>
      <w:tr>
        <w:tc>
          <w:tcPr/>
          <w:p>
            <w:pPr>
              <w:pStyle w:val="Compact"/>
              <w:jc w:val="left"/>
            </w:pPr>
            <w:r>
              <w:t xml:space="preserve">Температура жидкости</w:t>
            </w:r>
          </w:p>
        </w:tc>
        <w:tc>
          <w:tcPr/>
          <w:p>
            <w:pPr>
              <w:pStyle w:val="Compact"/>
              <w:jc w:val="left"/>
            </w:pPr>
            <w:r>
              <w:t xml:space="preserve">30 °C</w:t>
            </w:r>
          </w:p>
        </w:tc>
      </w:tr>
      <w:tr>
        <w:tc>
          <w:tcPr/>
          <w:p>
            <w:pPr>
              <w:pStyle w:val="Compact"/>
              <w:jc w:val="left"/>
            </w:pPr>
            <w:r>
              <w:t xml:space="preserve">Определение коэффициента Z</w:t>
            </w:r>
          </w:p>
        </w:tc>
        <w:tc>
          <w:tcPr/>
          <w:p>
            <w:pPr>
              <w:pStyle w:val="Compact"/>
              <w:jc w:val="left"/>
            </w:pPr>
            <w:r>
              <w:t xml:space="preserve">по приложению Д</w:t>
            </w:r>
          </w:p>
        </w:tc>
      </w:tr>
    </w:tbl>
    <w:p>
      <w:pPr>
        <w:pStyle w:val="a0"/>
      </w:pPr>
      <w:r>
        <w:rPr>
          <w:bCs/>
          <w:b/>
        </w:rPr>
        <w:t xml:space="preserve">Определение объёма жидкости, вышедшей из аппарата при аварии</w:t>
      </w:r>
    </w:p>
    <w:p>
      <w:pPr>
        <w:pStyle w:val="a0"/>
      </w:pPr>
      <w:r>
        <w:t xml:space="preserve">Происходит авария аппарата «Жидкая нагрузка_01». Все содержимое аппарата поступает в окружающее пространство.</w:t>
      </w:r>
    </w:p>
    <w:p>
      <w:pPr>
        <w:pStyle w:val="a0"/>
      </w:pPr>
      <w:r>
        <w:t xml:space="preserve">Объём жидкости, вышедшей из аппарата, равен объёму аппарата и составляет</w:t>
      </w:r>
      <w:r>
        <w:t xml:space="preserve"> </w:t>
      </w:r>
      <m:oMath>
        <m:r>
          <m:t>0</m:t>
        </m:r>
        <m:r>
          <m:rPr>
            <m:sty m:val="p"/>
          </m:rPr>
          <m:t>,</m:t>
        </m:r>
        <m:r>
          <m:t>08</m:t>
        </m:r>
        <m:r>
          <m:t> </m:t>
        </m:r>
        <m:r>
          <m:rPr>
            <m:nor/>
            <m:sty m:val="p"/>
          </m:rPr>
          <m:t>м³</m:t>
        </m:r>
      </m:oMath>
      <w:r>
        <w:t xml:space="preserve">.</w:t>
      </w:r>
    </w:p>
    <w:p>
      <w:pPr>
        <w:pStyle w:val="a0"/>
      </w:pPr>
      <w:r>
        <w:t xml:space="preserve">При плотности жидкости, равной</w:t>
      </w:r>
      <w:r>
        <w:t xml:space="preserve"> </w:t>
      </w:r>
      <m:oMath>
        <m:r>
          <m:t>791</m:t>
        </m:r>
        <m:r>
          <m:t> </m:t>
        </m:r>
        <m:r>
          <m:rPr>
            <m:nor/>
            <m:sty m:val="p"/>
          </m:rPr>
          <m:t>кг/м³</m:t>
        </m:r>
      </m:oMath>
      <w:r>
        <w:t xml:space="preserve">, масса жидкости, вышедшей из аварийного аппарата, составляет</w:t>
      </w:r>
      <w:r>
        <w:t xml:space="preserve"> </w:t>
      </w:r>
      <m:oMath>
        <m:r>
          <m:t>63</m:t>
        </m:r>
        <m:r>
          <m:rPr>
            <m:sty m:val="p"/>
          </m:rPr>
          <m:t>,</m:t>
        </m:r>
        <m:r>
          <m:t>28</m:t>
        </m:r>
        <m:r>
          <m:t> </m:t>
        </m:r>
        <m:r>
          <m:rPr>
            <m:nor/>
            <m:sty m:val="p"/>
          </m:rPr>
          <m:t>кг</m:t>
        </m:r>
      </m:oMath>
      <w:r>
        <w:t xml:space="preserve">.</w:t>
      </w:r>
    </w:p>
    <w:p>
      <w:pPr>
        <w:pStyle w:val="a0"/>
      </w:pPr>
      <w:r>
        <w:t xml:space="preserve">Полная масса горючей нагрузки, учитываемая при расчёте категории В1-В4:</w:t>
      </w:r>
      <w:r>
        <w:t xml:space="preserve"> </w:t>
      </w:r>
      <m:oMath>
        <m:r>
          <m:t>50</m:t>
        </m:r>
        <m:r>
          <m:rPr>
            <m:sty m:val="p"/>
          </m:rPr>
          <m:t>⋅</m:t>
        </m:r>
        <m:r>
          <m:t>791</m:t>
        </m:r>
        <m:r>
          <m:rPr>
            <m:sty m:val="p"/>
          </m:rPr>
          <m:t>=</m:t>
        </m:r>
        <m:r>
          <m:t>39550</m:t>
        </m:r>
        <m:r>
          <m:t> </m:t>
        </m:r>
        <m:r>
          <m:rPr>
            <m:nor/>
            <m:sty m:val="p"/>
          </m:rPr>
          <m:t>кг</m:t>
        </m:r>
      </m:oMath>
      <w:r>
        <w:t xml:space="preserve">.</w:t>
      </w:r>
    </w:p>
    <w:p>
      <w:pPr>
        <w:pStyle w:val="a0"/>
      </w:pPr>
      <w:r>
        <w:t xml:space="preserve">Площадь разлива жидкости при аварии ограничена площадью помещения и составляет</w:t>
      </w:r>
      <w:r>
        <w:t xml:space="preserve"> </w:t>
      </w:r>
      <m:oMath>
        <m:r>
          <m:t>72</m:t>
        </m:r>
        <m:r>
          <m:t> </m:t>
        </m:r>
        <m:r>
          <m:rPr>
            <m:nor/>
            <m:sty m:val="p"/>
          </m:rPr>
          <m:t>м²</m:t>
        </m:r>
      </m:oMath>
      <w:r>
        <w:t xml:space="preserve">.</w:t>
      </w:r>
    </w:p>
    <w:p>
      <w:pPr>
        <w:pStyle w:val="a0"/>
      </w:pPr>
      <w:r>
        <w:rPr>
          <w:bCs/>
          <w:b/>
        </w:rPr>
        <w:t xml:space="preserve">Определение давления насыщенного пара жидкости</w:t>
      </w:r>
    </w:p>
    <w:p>
      <w:pPr>
        <w:pStyle w:val="a0"/>
      </w:pPr>
      <w:r>
        <w:t xml:space="preserve">Давление насыщенного пара жидкости определено по формуле Антуана:</w:t>
      </w:r>
    </w:p>
    <w:p>
      <w:pPr>
        <w:pStyle w:val="a0"/>
      </w:pPr>
      <m:oMathPara>
        <m:oMathParaPr>
          <m:jc m:val="center"/>
        </m:oMathParaPr>
        <m:oMath>
          <m:sSub>
            <m:e>
              <m:r>
                <m:t>P</m:t>
              </m:r>
            </m:e>
            <m:sub>
              <m:r>
                <m:t>н</m:t>
              </m:r>
            </m:sub>
          </m:sSub>
          <m:r>
            <m:rPr>
              <m:sty m:val="p"/>
            </m:rPr>
            <m:t>=</m:t>
          </m:r>
          <m:sSup>
            <m:e>
              <m:r>
                <m:t>10</m:t>
              </m:r>
            </m:e>
            <m:sup>
              <m:r>
                <m:t>A</m:t>
              </m:r>
              <m:r>
                <m:rPr>
                  <m:sty m:val="p"/>
                </m:rPr>
                <m:t>−</m:t>
              </m:r>
              <m:r>
                <m:t>B</m:t>
              </m:r>
              <m:r>
                <m:rPr>
                  <m:sty m:val="p"/>
                </m:rPr>
                <m:t>/</m:t>
              </m:r>
              <m:d>
                <m:dPr>
                  <m:begChr m:val="("/>
                  <m:endChr m:val=")"/>
                  <m:sepChr m:val=""/>
                  <m:grow/>
                </m:dPr>
                <m:e>
                  <m:r>
                    <m:t>t</m:t>
                  </m:r>
                  <m:r>
                    <m:rPr>
                      <m:sty m:val="p"/>
                    </m:rPr>
                    <m:t>+</m:t>
                  </m:r>
                  <m:sSub>
                    <m:e>
                      <m:r>
                        <m:t>C</m:t>
                      </m:r>
                    </m:e>
                    <m:sub>
                      <m:r>
                        <m:t>a</m:t>
                      </m:r>
                    </m:sub>
                  </m:sSub>
                </m:e>
              </m:d>
            </m:sup>
          </m:sSup>
          <m:r>
            <m:rPr>
              <m:sty m:val="p"/>
            </m:rPr>
            <m:t>=</m:t>
          </m:r>
          <m:r>
            <m:t>37</m:t>
          </m:r>
          <m:r>
            <m:rPr>
              <m:sty m:val="p"/>
            </m:rPr>
            <m:t>,</m:t>
          </m:r>
          <m:r>
            <m:t>726</m:t>
          </m:r>
          <m:r>
            <m:t> </m:t>
          </m:r>
          <m:r>
            <m:rPr>
              <m:nor/>
              <m:sty m:val="p"/>
            </m:rPr>
            <m:t>кПа</m:t>
          </m:r>
          <m:r>
            <m:rPr>
              <m:sty m:val="p"/>
            </m:rPr>
            <m:t>,</m:t>
          </m:r>
        </m:oMath>
      </m:oMathPara>
    </w:p>
    <w:p>
      <w:pPr>
        <w:pStyle w:val="FirstParagraph"/>
      </w:pPr>
      <w:r>
        <w:t xml:space="preserve">где:</w:t>
      </w:r>
    </w:p>
    <w:tbl>
      <w:tblPr>
        <w:tblStyle w:val="Table"/>
        <w:tblW w:type="pct" w:w="5000"/>
        <w:tblLook w:firstRow="1" w:lastRow="0" w:firstColumn="0" w:lastColumn="0" w:noHBand="0" w:noVBand="0" w:val="0020"/>
      </w:tblPr>
      <w:tblGrid>
        <w:gridCol w:w="792"/>
        <w:gridCol w:w="5544"/>
        <w:gridCol w:w="1584"/>
      </w:tblGrid>
      <w:tr>
        <w:trPr>
          <w:tblHeader w:val="true"/>
        </w:trPr>
        <w:tc>
          <w:tcPr/>
          <w:p>
            <w:pPr>
              <w:pStyle w:val="Compact"/>
              <w:jc w:val="left"/>
            </w:pPr>
            <m:oMath>
              <m:r>
                <m:t>A</m:t>
              </m:r>
              <m:r>
                <m:rPr>
                  <m:sty m:val="p"/>
                </m:rPr>
                <m:t>−</m:t>
              </m:r>
            </m:oMath>
          </w:p>
        </w:tc>
        <w:tc>
          <w:tcPr/>
          <w:p>
            <w:pPr>
              <w:pStyle w:val="Compact"/>
              <w:jc w:val="left"/>
            </w:pPr>
            <w:r>
              <w:t xml:space="preserve">константа Антуана</w:t>
            </w:r>
          </w:p>
        </w:tc>
        <w:tc>
          <w:tcPr/>
          <w:p>
            <w:pPr>
              <w:pStyle w:val="Compact"/>
              <w:jc w:val="left"/>
            </w:pPr>
            <m:oMath>
              <m:r>
                <m:t>6</m:t>
              </m:r>
              <m:r>
                <m:rPr>
                  <m:sty m:val="p"/>
                </m:rPr>
                <m:t>,</m:t>
              </m:r>
              <m:r>
                <m:t>37551</m:t>
              </m:r>
            </m:oMath>
          </w:p>
        </w:tc>
      </w:tr>
      <w:tr>
        <w:tc>
          <w:tcPr/>
          <w:p>
            <w:pPr>
              <w:pStyle w:val="Compact"/>
              <w:jc w:val="left"/>
            </w:pPr>
            <m:oMath>
              <m:r>
                <m:t>B</m:t>
              </m:r>
              <m:r>
                <m:rPr>
                  <m:sty m:val="p"/>
                </m:rPr>
                <m:t>−</m:t>
              </m:r>
            </m:oMath>
          </w:p>
        </w:tc>
        <w:tc>
          <w:tcPr/>
          <w:p>
            <w:pPr>
              <w:pStyle w:val="Compact"/>
              <w:jc w:val="left"/>
            </w:pPr>
            <w:r>
              <w:t xml:space="preserve">константа Антуана</w:t>
            </w:r>
          </w:p>
        </w:tc>
        <w:tc>
          <w:tcPr/>
          <w:p>
            <w:pPr>
              <w:pStyle w:val="Compact"/>
              <w:jc w:val="left"/>
            </w:pPr>
            <m:oMath>
              <m:r>
                <m:t>1281</m:t>
              </m:r>
              <m:r>
                <m:rPr>
                  <m:sty m:val="p"/>
                </m:rPr>
                <m:t>,</m:t>
              </m:r>
              <m:r>
                <m:t>721</m:t>
              </m:r>
            </m:oMath>
          </w:p>
        </w:tc>
      </w:tr>
      <w:tr>
        <w:tc>
          <w:tcPr/>
          <w:p>
            <w:pPr>
              <w:pStyle w:val="Compact"/>
              <w:jc w:val="left"/>
            </w:pPr>
            <m:oMath>
              <m:sSub>
                <m:e>
                  <m:r>
                    <m:t>C</m:t>
                  </m:r>
                </m:e>
                <m:sub>
                  <m:r>
                    <m:t>a</m:t>
                  </m:r>
                </m:sub>
              </m:sSub>
              <m:r>
                <m:rPr>
                  <m:sty m:val="p"/>
                </m:rPr>
                <m:t>−</m:t>
              </m:r>
            </m:oMath>
          </w:p>
        </w:tc>
        <w:tc>
          <w:tcPr/>
          <w:p>
            <w:pPr>
              <w:pStyle w:val="Compact"/>
              <w:jc w:val="left"/>
            </w:pPr>
            <w:r>
              <w:t xml:space="preserve">константа Антуана</w:t>
            </w:r>
          </w:p>
        </w:tc>
        <w:tc>
          <w:tcPr/>
          <w:p>
            <w:pPr>
              <w:pStyle w:val="Compact"/>
              <w:jc w:val="left"/>
            </w:pPr>
            <m:oMath>
              <m:r>
                <m:t>237</m:t>
              </m:r>
              <m:r>
                <m:rPr>
                  <m:sty m:val="p"/>
                </m:rPr>
                <m:t>,</m:t>
              </m:r>
              <m:r>
                <m:t>088</m:t>
              </m:r>
            </m:oMath>
          </w:p>
        </w:tc>
      </w:tr>
      <w:tr>
        <w:tc>
          <w:tcPr/>
          <w:p>
            <w:pPr>
              <w:pStyle w:val="Compact"/>
              <w:jc w:val="left"/>
            </w:pPr>
            <m:oMath>
              <m:r>
                <m:t>t</m:t>
              </m:r>
              <m:r>
                <m:rPr>
                  <m:sty m:val="p"/>
                </m:rPr>
                <m:t>−</m:t>
              </m:r>
            </m:oMath>
          </w:p>
        </w:tc>
        <w:tc>
          <w:tcPr/>
          <w:p>
            <w:pPr>
              <w:pStyle w:val="Compact"/>
              <w:jc w:val="left"/>
            </w:pPr>
            <w:r>
              <w:t xml:space="preserve">расчётная температура жидкости</w:t>
            </w:r>
          </w:p>
        </w:tc>
        <w:tc>
          <w:tcPr/>
          <w:p>
            <w:pPr>
              <w:pStyle w:val="Compact"/>
              <w:jc w:val="left"/>
            </w:pPr>
            <m:oMath>
              <m:r>
                <m:t>30</m:t>
              </m:r>
            </m:oMath>
            <w:r>
              <w:t xml:space="preserve"> °C</w:t>
            </w:r>
          </w:p>
        </w:tc>
      </w:tr>
    </w:tbl>
    <w:p>
      <w:pPr>
        <w:pStyle w:val="a0"/>
      </w:pPr>
      <w:r>
        <w:rPr>
          <w:bCs/>
          <w:b/>
        </w:rPr>
        <w:t xml:space="preserve">Расчёт массы паров жидкости</w:t>
      </w:r>
    </w:p>
    <w:p>
      <w:pPr>
        <w:pStyle w:val="a0"/>
      </w:pPr>
      <w:r>
        <w:t xml:space="preserve">Поскольку температура жидкости (</w:t>
      </w:r>
      <m:oMath>
        <m:r>
          <m:t>30</m:t>
        </m:r>
        <m:r>
          <m:t> </m:t>
        </m:r>
        <m:r>
          <m:rPr>
            <m:nor/>
            <m:sty m:val="p"/>
          </m:rPr>
          <m:t>°C</m:t>
        </m:r>
      </m:oMath>
      <w:r>
        <w:t xml:space="preserve">) не превышает температуру окружающей среды (</w:t>
      </w:r>
      <m:oMath>
        <m:r>
          <m:t>30</m:t>
        </m:r>
        <m:r>
          <m:t> </m:t>
        </m:r>
        <m:r>
          <m:rPr>
            <m:nor/>
            <m:sty m:val="p"/>
          </m:rPr>
          <m:t>°C</m:t>
        </m:r>
      </m:oMath>
      <w:r>
        <w:t xml:space="preserve">), то, согласно формулам (А.11), (А.12) и (А.13), расчёт массы паров жидкости выполняется следующим образом:</w:t>
      </w:r>
    </w:p>
    <w:p>
      <w:pPr>
        <w:pStyle w:val="a0"/>
      </w:pPr>
      <m:oMathPara>
        <m:oMathParaPr>
          <m:jc m:val="center"/>
        </m:oMathParaPr>
        <m:oMath>
          <m:r>
            <m:t>m</m:t>
          </m:r>
          <m:r>
            <m:rPr>
              <m:sty m:val="p"/>
            </m:rPr>
            <m:t>=</m:t>
          </m:r>
          <m:sSub>
            <m:e>
              <m:r>
                <m:t>m</m:t>
              </m:r>
            </m:e>
            <m:sub>
              <m:r>
                <m:t>р</m:t>
              </m:r>
            </m:sub>
          </m:sSub>
          <m:r>
            <m:rPr>
              <m:sty m:val="p"/>
            </m:rPr>
            <m:t>+</m:t>
          </m:r>
          <m:sSub>
            <m:e>
              <m:r>
                <m:t>m</m:t>
              </m:r>
            </m:e>
            <m:sub>
              <m:r>
                <m:t>е</m:t>
              </m:r>
              <m:r>
                <m:t>м</m:t>
              </m:r>
              <m:r>
                <m:t>к</m:t>
              </m:r>
            </m:sub>
          </m:sSub>
          <m:r>
            <m:rPr>
              <m:sty m:val="p"/>
            </m:rPr>
            <m:t>+</m:t>
          </m:r>
          <m:sSub>
            <m:e>
              <m:r>
                <m:t>m</m:t>
              </m:r>
            </m:e>
            <m:sub>
              <m:r>
                <m:t>с</m:t>
              </m:r>
              <m:r>
                <m:t>в</m:t>
              </m:r>
              <m:r>
                <m:rPr>
                  <m:sty m:val="p"/>
                </m:rPr>
                <m:t>.</m:t>
              </m:r>
              <m:r>
                <m:t>о</m:t>
              </m:r>
              <m:r>
                <m:t>к</m:t>
              </m:r>
              <m:r>
                <m:t>р</m:t>
              </m:r>
              <m:r>
                <m:rPr>
                  <m:sty m:val="p"/>
                </m:rPr>
                <m:t>.</m:t>
              </m:r>
            </m:sub>
          </m:sSub>
          <m:r>
            <m:rPr>
              <m:sty m:val="p"/>
            </m:rPr>
            <m:t>,</m:t>
          </m:r>
        </m:oMath>
      </m:oMathPara>
    </w:p>
    <w:p>
      <w:pPr>
        <w:pStyle w:val="FirstParagraph"/>
      </w:pPr>
      <w:r>
        <w:t xml:space="preserve">где:</w:t>
      </w:r>
      <w:r>
        <w:t xml:space="preserve"> </w:t>
      </w:r>
      <m:oMath>
        <m:sSub>
          <m:e>
            <m:r>
              <m:t>m</m:t>
            </m:r>
          </m:e>
          <m:sub>
            <m:r>
              <m:t>р</m:t>
            </m:r>
          </m:sub>
        </m:sSub>
      </m:oMath>
      <w:r>
        <w:t xml:space="preserve"> </w:t>
      </w:r>
      <w:r>
        <w:t xml:space="preserve">— масса жидкости, испарившейся с поверхности разлива, кг;</w:t>
      </w:r>
      <w:r>
        <w:t xml:space="preserve"> </w:t>
      </w:r>
      <m:oMath>
        <m:sSub>
          <m:e>
            <m:r>
              <m:t>m</m:t>
            </m:r>
          </m:e>
          <m:sub>
            <m:r>
              <m:t>е</m:t>
            </m:r>
            <m:r>
              <m:t>м</m:t>
            </m:r>
            <m:r>
              <m:t>к</m:t>
            </m:r>
          </m:sub>
        </m:sSub>
      </m:oMath>
      <w:r>
        <w:t xml:space="preserve"> </w:t>
      </w:r>
      <w:r>
        <w:t xml:space="preserve">— масса жидкости, испарившейся с поверхностей открытых ёмкостей, кг;</w:t>
      </w:r>
      <w:r>
        <w:t xml:space="preserve"> </w:t>
      </w:r>
      <m:oMath>
        <m:sSub>
          <m:e>
            <m:r>
              <m:t>m</m:t>
            </m:r>
          </m:e>
          <m:sub>
            <m:r>
              <m:t>с</m:t>
            </m:r>
            <m:r>
              <m:t>в</m:t>
            </m:r>
            <m:r>
              <m:rPr>
                <m:sty m:val="p"/>
              </m:rPr>
              <m:t>.</m:t>
            </m:r>
            <m:r>
              <m:t>о</m:t>
            </m:r>
            <m:r>
              <m:t>к</m:t>
            </m:r>
            <m:r>
              <m:t>р</m:t>
            </m:r>
            <m:r>
              <m:rPr>
                <m:sty m:val="p"/>
              </m:rPr>
              <m:t>.</m:t>
            </m:r>
          </m:sub>
        </m:sSub>
      </m:oMath>
      <w:r>
        <w:t xml:space="preserve"> </w:t>
      </w:r>
      <w:r>
        <w:t xml:space="preserve">— масса жидкости, испарившейся с поверхностей, на которые нанесен применяемый состав, кг.</w:t>
      </w:r>
    </w:p>
    <w:p>
      <w:pPr>
        <w:pStyle w:val="a0"/>
      </w:pPr>
      <w:r>
        <w:t xml:space="preserve">При этом каждое из слагаемых определяется по формуле:</w:t>
      </w:r>
    </w:p>
    <w:p>
      <w:pPr>
        <w:pStyle w:val="a0"/>
      </w:pPr>
      <m:oMathPara>
        <m:oMathParaPr>
          <m:jc m:val="center"/>
        </m:oMathParaPr>
        <m:oMath>
          <m:r>
            <m:t>m</m:t>
          </m:r>
          <m:r>
            <m:rPr>
              <m:sty m:val="p"/>
            </m:rPr>
            <m:t>=</m:t>
          </m:r>
          <m:r>
            <m:t>W</m:t>
          </m:r>
          <m:sSub>
            <m:e>
              <m:r>
                <m:t>F</m:t>
              </m:r>
            </m:e>
            <m:sub>
              <m:r>
                <m:t>и</m:t>
              </m:r>
            </m:sub>
          </m:sSub>
          <m:r>
            <m:t>T</m:t>
          </m:r>
          <m:r>
            <m:rPr>
              <m:sty m:val="p"/>
            </m:rPr>
            <m:t>,</m:t>
          </m:r>
        </m:oMath>
      </m:oMathPara>
    </w:p>
    <w:p>
      <w:pPr>
        <w:pStyle w:val="FirstParagraph"/>
      </w:pPr>
      <w:r>
        <w:t xml:space="preserve">где</w:t>
      </w:r>
      <w:r>
        <w:t xml:space="preserve"> </w:t>
      </w:r>
      <m:oMath>
        <m:r>
          <m:t>W</m:t>
        </m:r>
      </m:oMath>
      <w:r>
        <w:t xml:space="preserve"> </w:t>
      </w:r>
      <w:r>
        <w:t xml:space="preserve">— интенсивность испарения, определяемая по формуле:</w:t>
      </w:r>
    </w:p>
    <w:p>
      <w:pPr>
        <w:pStyle w:val="a0"/>
      </w:pPr>
      <m:oMathPara>
        <m:oMathParaPr>
          <m:jc m:val="center"/>
        </m:oMathParaPr>
        <m:oMath>
          <m:r>
            <m:t>W</m:t>
          </m:r>
          <m:r>
            <m:rPr>
              <m:sty m:val="p"/>
            </m:rPr>
            <m:t>=</m:t>
          </m:r>
          <m:sSup>
            <m:e>
              <m:r>
                <m:t>10</m:t>
              </m:r>
            </m:e>
            <m:sup>
              <m:r>
                <m:rPr>
                  <m:sty m:val="p"/>
                </m:rPr>
                <m:t>−</m:t>
              </m:r>
              <m:r>
                <m:t>6</m:t>
              </m:r>
            </m:sup>
          </m:sSup>
          <m:r>
            <m:rPr>
              <m:sty m:val="p"/>
            </m:rPr>
            <m:t>⋅</m:t>
          </m:r>
          <m:r>
            <m:t>η</m:t>
          </m:r>
          <m:rad>
            <m:radPr>
              <m:degHide m:val="1"/>
            </m:radPr>
            <m:deg/>
            <m:e>
              <m:r>
                <m:t>M</m:t>
              </m:r>
            </m:e>
          </m:rad>
          <m:r>
            <m:rPr>
              <m:sty m:val="p"/>
            </m:rPr>
            <m:t>⋅</m:t>
          </m:r>
          <m:sSub>
            <m:e>
              <m:r>
                <m:t>P</m:t>
              </m:r>
            </m:e>
            <m:sub>
              <m:r>
                <m:t>н</m:t>
              </m:r>
            </m:sub>
          </m:sSub>
          <m:r>
            <m:rPr>
              <m:sty m:val="p"/>
            </m:rPr>
            <m:t>=</m:t>
          </m:r>
          <m:r>
            <m:t>0</m:t>
          </m:r>
          <m:r>
            <m:rPr>
              <m:sty m:val="p"/>
            </m:rPr>
            <m:t>,</m:t>
          </m:r>
          <m:r>
            <m:t>00028756</m:t>
          </m:r>
          <m:r>
            <m:t> </m:t>
          </m:r>
          <m:r>
            <m:rPr>
              <m:nor/>
              <m:sty m:val="p"/>
            </m:rPr>
            <m:t>кг/(с·м²)</m:t>
          </m:r>
          <m:r>
            <m:rPr>
              <m:sty m:val="p"/>
            </m:rPr>
            <m:t>,</m:t>
          </m:r>
        </m:oMath>
      </m:oMathPara>
    </w:p>
    <w:p>
      <w:pPr>
        <w:pStyle w:val="FirstParagraph"/>
      </w:pPr>
      <w:r>
        <w:t xml:space="preserve">где:</w:t>
      </w:r>
    </w:p>
    <w:tbl>
      <w:tblPr>
        <w:tblStyle w:val="Table"/>
        <w:tblW w:type="pct" w:w="5000"/>
        <w:tblLook w:firstRow="1" w:lastRow="0" w:firstColumn="0" w:lastColumn="0" w:noHBand="0" w:noVBand="0" w:val="0020"/>
      </w:tblPr>
      <w:tblGrid>
        <w:gridCol w:w="792"/>
        <w:gridCol w:w="5544"/>
        <w:gridCol w:w="1584"/>
      </w:tblGrid>
      <w:tr>
        <w:trPr>
          <w:tblHeader w:val="true"/>
        </w:trPr>
        <w:tc>
          <w:tcPr/>
          <w:p>
            <w:pPr>
              <w:pStyle w:val="Compact"/>
              <w:jc w:val="left"/>
            </w:pPr>
            <m:oMath>
              <m:r>
                <m:t>η</m:t>
              </m:r>
            </m:oMath>
            <w:r>
              <w:t xml:space="preserve"> –</w:t>
            </w:r>
          </w:p>
        </w:tc>
        <w:tc>
          <w:tcPr/>
          <w:p>
            <w:pPr>
              <w:pStyle w:val="Compact"/>
              <w:jc w:val="left"/>
            </w:pPr>
            <w:r>
              <w:t xml:space="preserve">коэффициент, принимаемый по таблице А.2 СП 12.13130.2009 в зависимости от скорости (</w:t>
            </w:r>
            <m:oMath>
              <m:r>
                <m:t>0</m:t>
              </m:r>
              <m:r>
                <m:t> </m:t>
              </m:r>
              <m:r>
                <m:rPr>
                  <m:nor/>
                  <m:sty m:val="p"/>
                </m:rPr>
                <m:t>м/с</m:t>
              </m:r>
            </m:oMath>
            <w:r>
              <w:t xml:space="preserve">) и температуры (</w:t>
            </w:r>
            <m:oMath>
              <m:r>
                <m:t>30</m:t>
              </m:r>
              <m:r>
                <m:t> </m:t>
              </m:r>
              <m:r>
                <m:rPr>
                  <m:nor/>
                  <m:sty m:val="p"/>
                </m:rPr>
                <m:t>°C</m:t>
              </m:r>
            </m:oMath>
            <w:r>
              <w:t xml:space="preserve">) воздушного потока над поверхностью испарения</w:t>
            </w:r>
          </w:p>
        </w:tc>
        <w:tc>
          <w:tcPr/>
          <w:p>
            <w:pPr>
              <w:pStyle w:val="Compact"/>
              <w:jc w:val="left"/>
            </w:pPr>
            <m:oMath>
              <m:r>
                <m:t>1</m:t>
              </m:r>
            </m:oMath>
          </w:p>
        </w:tc>
      </w:tr>
      <w:tr>
        <w:tc>
          <w:tcPr/>
          <w:p>
            <w:pPr>
              <w:pStyle w:val="Compact"/>
              <w:jc w:val="left"/>
            </w:pPr>
            <m:oMath>
              <m:r>
                <m:t>M</m:t>
              </m:r>
            </m:oMath>
            <w:r>
              <w:t xml:space="preserve"> –</w:t>
            </w:r>
          </w:p>
        </w:tc>
        <w:tc>
          <w:tcPr/>
          <w:p>
            <w:pPr>
              <w:pStyle w:val="Compact"/>
              <w:jc w:val="left"/>
            </w:pPr>
            <w:r>
              <w:t xml:space="preserve">молярная масса жидкости</w:t>
            </w:r>
          </w:p>
        </w:tc>
        <w:tc>
          <w:tcPr/>
          <w:p>
            <w:pPr>
              <w:pStyle w:val="Compact"/>
              <w:jc w:val="left"/>
            </w:pPr>
            <m:oMath>
              <m:r>
                <m:t>58</m:t>
              </m:r>
              <m:r>
                <m:rPr>
                  <m:sty m:val="p"/>
                </m:rPr>
                <m:t>,</m:t>
              </m:r>
              <m:r>
                <m:t>1</m:t>
              </m:r>
              <m:r>
                <m:t> </m:t>
              </m:r>
              <m:r>
                <m:rPr>
                  <m:nor/>
                  <m:sty m:val="p"/>
                </m:rPr>
                <m:t>кг/кмоль</m:t>
              </m:r>
            </m:oMath>
          </w:p>
        </w:tc>
      </w:tr>
      <w:tr>
        <w:tc>
          <w:tcPr/>
          <w:p>
            <w:pPr>
              <w:pStyle w:val="Compact"/>
              <w:jc w:val="left"/>
            </w:pPr>
            <m:oMath>
              <m:sSub>
                <m:e>
                  <m:r>
                    <m:t>P</m:t>
                  </m:r>
                </m:e>
                <m:sub>
                  <m:r>
                    <m:t>н</m:t>
                  </m:r>
                </m:sub>
              </m:sSub>
            </m:oMath>
            <w:r>
              <w:t xml:space="preserve"> –</w:t>
            </w:r>
          </w:p>
        </w:tc>
        <w:tc>
          <w:tcPr/>
          <w:p>
            <w:pPr>
              <w:pStyle w:val="Compact"/>
              <w:jc w:val="left"/>
            </w:pPr>
            <w:r>
              <w:t xml:space="preserve">давление насыщенного пара при расчётной температуре жидкости</w:t>
            </w:r>
          </w:p>
        </w:tc>
        <w:tc>
          <w:tcPr/>
          <w:p>
            <w:pPr>
              <w:pStyle w:val="Compact"/>
              <w:jc w:val="left"/>
            </w:pPr>
            <m:oMath>
              <m:r>
                <m:t>37</m:t>
              </m:r>
              <m:r>
                <m:rPr>
                  <m:sty m:val="p"/>
                </m:rPr>
                <m:t>,</m:t>
              </m:r>
              <m:r>
                <m:t>726</m:t>
              </m:r>
              <m:r>
                <m:t> </m:t>
              </m:r>
              <m:r>
                <m:rPr>
                  <m:nor/>
                  <m:sty m:val="p"/>
                </m:rPr>
                <m:t>кПа</m:t>
              </m:r>
            </m:oMath>
          </w:p>
        </w:tc>
      </w:tr>
    </w:tbl>
    <w:p>
      <w:pPr>
        <w:pStyle w:val="a0"/>
      </w:pPr>
      <w:r>
        <w:t xml:space="preserve">Скорость воздушного потока в помещении принимается равной нулю.</w:t>
      </w:r>
    </w:p>
    <w:p>
      <w:pPr>
        <w:pStyle w:val="a0"/>
      </w:pPr>
      <m:oMath>
        <m:sSub>
          <m:e>
            <m:r>
              <m:t>F</m:t>
            </m:r>
          </m:e>
          <m:sub>
            <m:r>
              <m:t>и</m:t>
            </m:r>
          </m:sub>
        </m:sSub>
      </m:oMath>
      <w:r>
        <w:t xml:space="preserve"> </w:t>
      </w:r>
      <w:r>
        <w:t xml:space="preserve">— площадь испарения, м²; T — время испарения, с — приведены в таблице:</w:t>
      </w:r>
    </w:p>
    <w:tbl>
      <w:tblPr>
        <w:tblStyle w:val="Table"/>
        <w:tblW w:type="pct" w:w="5000"/>
        <w:tblLook w:firstRow="1" w:lastRow="0" w:firstColumn="0" w:lastColumn="0" w:noHBand="0" w:noVBand="0" w:val="0020"/>
      </w:tblPr>
      <w:tblGrid>
        <w:gridCol w:w="1980"/>
        <w:gridCol w:w="1584"/>
        <w:gridCol w:w="2376"/>
        <w:gridCol w:w="1980"/>
      </w:tblGrid>
      <w:tr>
        <w:trPr>
          <w:tblHeader w:val="true"/>
        </w:trPr>
        <w:tc>
          <w:tcPr/>
          <w:p>
            <w:pPr>
              <w:pStyle w:val="Compact"/>
              <w:jc w:val="left"/>
            </w:pPr>
            <w:r>
              <w:t xml:space="preserve">Источники испарения</w:t>
            </w:r>
          </w:p>
        </w:tc>
        <w:tc>
          <w:tcPr/>
          <w:p>
            <w:pPr>
              <w:pStyle w:val="Compact"/>
              <w:jc w:val="left"/>
            </w:pPr>
            <w:r>
              <w:t xml:space="preserve">Площадь, м²</w:t>
            </w:r>
          </w:p>
        </w:tc>
        <w:tc>
          <w:tcPr/>
          <w:p>
            <w:pPr>
              <w:pStyle w:val="Compact"/>
              <w:jc w:val="left"/>
            </w:pPr>
            <w:r>
              <w:t xml:space="preserve">Продолжительность испарения, с</w:t>
            </w:r>
          </w:p>
        </w:tc>
        <w:tc>
          <w:tcPr/>
          <w:p>
            <w:pPr>
              <w:pStyle w:val="Compact"/>
              <w:jc w:val="left"/>
            </w:pPr>
            <w:r>
              <w:t xml:space="preserve">Масса паров жидкости, кг</w:t>
            </w:r>
          </w:p>
        </w:tc>
      </w:tr>
      <w:tr>
        <w:tc>
          <w:tcPr/>
          <w:p>
            <w:pPr>
              <w:pStyle w:val="Compact"/>
              <w:jc w:val="left"/>
            </w:pPr>
            <w:r>
              <w:t xml:space="preserve">Поверхность разлива</w:t>
            </w:r>
          </w:p>
        </w:tc>
        <w:tc>
          <w:tcPr/>
          <w:p>
            <w:pPr>
              <w:pStyle w:val="Compact"/>
              <w:jc w:val="left"/>
            </w:pPr>
            <m:oMath>
              <m:r>
                <m:t>72</m:t>
              </m:r>
              <m:r>
                <m:t> </m:t>
              </m:r>
              <m:r>
                <m:rPr>
                  <m:nor/>
                  <m:sty m:val="p"/>
                </m:rPr>
                <m:t>м²</m:t>
              </m:r>
            </m:oMath>
          </w:p>
        </w:tc>
        <w:tc>
          <w:tcPr/>
          <w:p>
            <w:pPr>
              <w:pStyle w:val="Compact"/>
              <w:jc w:val="left"/>
            </w:pPr>
            <m:oMath>
              <m:r>
                <m:t>3056</m:t>
              </m:r>
              <m:r>
                <m:rPr>
                  <m:sty m:val="p"/>
                </m:rPr>
                <m:t>,</m:t>
              </m:r>
              <m:r>
                <m:t>4</m:t>
              </m:r>
              <m:r>
                <m:t> </m:t>
              </m:r>
              <m:r>
                <m:rPr>
                  <m:nor/>
                  <m:sty m:val="p"/>
                </m:rPr>
                <m:t>с</m:t>
              </m:r>
            </m:oMath>
          </w:p>
        </w:tc>
        <w:tc>
          <w:tcPr/>
          <w:p>
            <w:pPr>
              <w:pStyle w:val="Compact"/>
              <w:jc w:val="left"/>
            </w:pPr>
            <m:oMath>
              <m:r>
                <m:t>63</m:t>
              </m:r>
              <m:r>
                <m:rPr>
                  <m:sty m:val="p"/>
                </m:rPr>
                <m:t>,</m:t>
              </m:r>
              <m:r>
                <m:t>28</m:t>
              </m:r>
              <m:r>
                <m:t> </m:t>
              </m:r>
              <m:r>
                <m:rPr>
                  <m:nor/>
                  <m:sty m:val="p"/>
                </m:rPr>
                <m:t>кг</m:t>
              </m:r>
            </m:oMath>
          </w:p>
        </w:tc>
      </w:tr>
    </w:tbl>
    <w:p>
      <w:pPr>
        <w:pStyle w:val="a0"/>
      </w:pPr>
      <w:r>
        <w:t xml:space="preserve">Итого: масса паров жидкости составляет</w:t>
      </w:r>
      <w:r>
        <w:t xml:space="preserve"> </w:t>
      </w:r>
      <m:oMath>
        <m:r>
          <m:t>63</m:t>
        </m:r>
        <m:r>
          <m:rPr>
            <m:sty m:val="p"/>
          </m:rPr>
          <m:t>,</m:t>
        </m:r>
        <m:r>
          <m:t>28</m:t>
        </m:r>
        <m:r>
          <m:t> </m:t>
        </m:r>
        <m:r>
          <m:rPr>
            <m:nor/>
            <m:sty m:val="p"/>
          </m:rPr>
          <m:t>кг</m:t>
        </m:r>
      </m:oMath>
      <w:r>
        <w:t xml:space="preserve">.</w:t>
      </w:r>
    </w:p>
    <w:p>
      <w:pPr>
        <w:pStyle w:val="a0"/>
      </w:pPr>
      <w:r>
        <w:rPr>
          <w:bCs/>
          <w:b/>
        </w:rPr>
        <w:t xml:space="preserve">Расчёт коэффициента Z участия в горении паров жидкости</w:t>
      </w:r>
    </w:p>
    <w:p>
      <w:pPr>
        <w:pStyle w:val="a0"/>
      </w:pPr>
      <w:r>
        <w:t xml:space="preserve">Жидкость нагрета до температуры вспышки или выше.</w:t>
      </w:r>
    </w:p>
    <w:p>
      <w:pPr>
        <w:pStyle w:val="a0"/>
      </w:pPr>
      <w:r>
        <w:t xml:space="preserve">Проверка условия Д.1:</w:t>
      </w:r>
    </w:p>
    <w:p>
      <w:pPr>
        <w:pStyle w:val="a0"/>
      </w:pPr>
      <m:oMathPara>
        <m:oMathParaPr>
          <m:jc m:val="center"/>
        </m:oMathParaPr>
        <m:oMath>
          <m:f>
            <m:fPr>
              <m:type m:val="bar"/>
            </m:fPr>
            <m:num>
              <m:r>
                <m:t>100</m:t>
              </m:r>
              <m:r>
                <m:t>m</m:t>
              </m:r>
            </m:num>
            <m:den>
              <m:sSub>
                <m:e>
                  <m:r>
                    <m:t>ρ</m:t>
                  </m:r>
                </m:e>
                <m:sub>
                  <m:r>
                    <m:t>п</m:t>
                  </m:r>
                </m:sub>
              </m:sSub>
              <m:sSub>
                <m:e>
                  <m:r>
                    <m:t>V</m:t>
                  </m:r>
                </m:e>
                <m:sub>
                  <m:r>
                    <m:t>с</m:t>
                  </m:r>
                  <m:r>
                    <m:t>в</m:t>
                  </m:r>
                </m:sub>
              </m:sSub>
            </m:den>
          </m:f>
          <m:r>
            <m:rPr>
              <m:sty m:val="p"/>
            </m:rPr>
            <m:t>&lt;</m:t>
          </m:r>
          <m:r>
            <m:t>0</m:t>
          </m:r>
          <m:r>
            <m:rPr>
              <m:sty m:val="p"/>
            </m:rPr>
            <m:t>,</m:t>
          </m:r>
          <m:r>
            <m:t>5</m:t>
          </m:r>
          <m:sSub>
            <m:e>
              <m:r>
                <m:t>C</m:t>
              </m:r>
            </m:e>
            <m:sub>
              <m:r>
                <m:t>Н</m:t>
              </m:r>
              <m:r>
                <m:t>К</m:t>
              </m:r>
              <m:r>
                <m:t>П</m:t>
              </m:r>
              <m:r>
                <m:t>Р</m:t>
              </m:r>
            </m:sub>
          </m:sSub>
          <m:r>
            <m:rPr>
              <m:sty m:val="p"/>
            </m:rPr>
            <m:t>,</m:t>
          </m:r>
        </m:oMath>
      </m:oMathPara>
    </w:p>
    <w:p>
      <w:pPr>
        <w:pStyle w:val="FirstParagraph"/>
      </w:pPr>
      <w:r>
        <w:t xml:space="preserve">где:</w:t>
      </w:r>
    </w:p>
    <w:tbl>
      <w:tblPr>
        <w:tblStyle w:val="Table"/>
        <w:tblW w:type="pct" w:w="5000"/>
        <w:tblLook w:firstRow="1" w:lastRow="0" w:firstColumn="0" w:lastColumn="0" w:noHBand="0" w:noVBand="0" w:val="0020"/>
      </w:tblPr>
      <w:tblGrid>
        <w:gridCol w:w="792"/>
        <w:gridCol w:w="5544"/>
        <w:gridCol w:w="1584"/>
      </w:tblGrid>
      <w:tr>
        <w:trPr>
          <w:tblHeader w:val="true"/>
        </w:trPr>
        <w:tc>
          <w:tcPr/>
          <w:p>
            <w:pPr>
              <w:pStyle w:val="Compact"/>
              <w:jc w:val="left"/>
            </w:pPr>
            <m:oMath>
              <m:r>
                <m:t>m</m:t>
              </m:r>
            </m:oMath>
            <w:r>
              <w:t xml:space="preserve"> –</w:t>
            </w:r>
          </w:p>
        </w:tc>
        <w:tc>
          <w:tcPr/>
          <w:p>
            <w:pPr>
              <w:pStyle w:val="Compact"/>
              <w:jc w:val="left"/>
            </w:pPr>
            <w:r>
              <w:t xml:space="preserve">масса паров ЛВЖ</w:t>
            </w:r>
          </w:p>
        </w:tc>
        <w:tc>
          <w:tcPr/>
          <w:p>
            <w:pPr>
              <w:pStyle w:val="Compact"/>
              <w:jc w:val="left"/>
            </w:pPr>
            <m:oMath>
              <m:r>
                <m:t>63</m:t>
              </m:r>
              <m:r>
                <m:rPr>
                  <m:sty m:val="p"/>
                </m:rPr>
                <m:t>,</m:t>
              </m:r>
              <m:r>
                <m:t>28</m:t>
              </m:r>
              <m:r>
                <m:t> </m:t>
              </m:r>
              <m:r>
                <m:rPr>
                  <m:nor/>
                  <m:sty m:val="p"/>
                </m:rPr>
                <m:t>кг</m:t>
              </m:r>
            </m:oMath>
          </w:p>
        </w:tc>
      </w:tr>
      <w:tr>
        <w:tc>
          <w:tcPr/>
          <w:p>
            <w:pPr>
              <w:pStyle w:val="Compact"/>
              <w:jc w:val="left"/>
            </w:pPr>
            <m:oMath>
              <m:sSub>
                <m:e>
                  <m:r>
                    <m:t>ρ</m:t>
                  </m:r>
                </m:e>
                <m:sub>
                  <m:r>
                    <m:t>п</m:t>
                  </m:r>
                </m:sub>
              </m:sSub>
            </m:oMath>
            <w:r>
              <w:t xml:space="preserve"> –</w:t>
            </w:r>
          </w:p>
        </w:tc>
        <w:tc>
          <w:tcPr/>
          <w:p>
            <w:pPr>
              <w:pStyle w:val="Compact"/>
              <w:jc w:val="left"/>
            </w:pPr>
            <w:r>
              <w:t xml:space="preserve">плотность паров ЛВЖ при расчётной температуре</w:t>
            </w:r>
          </w:p>
        </w:tc>
        <w:tc>
          <w:tcPr/>
          <w:p>
            <w:pPr>
              <w:pStyle w:val="Compact"/>
              <w:jc w:val="left"/>
            </w:pPr>
            <m:oMath>
              <m:r>
                <m:t>2</m:t>
              </m:r>
              <m:r>
                <m:rPr>
                  <m:sty m:val="p"/>
                </m:rPr>
                <m:t>,</m:t>
              </m:r>
              <m:r>
                <m:t>335</m:t>
              </m:r>
              <m:r>
                <m:t> </m:t>
              </m:r>
              <m:r>
                <m:rPr>
                  <m:nor/>
                  <m:sty m:val="p"/>
                </m:rPr>
                <m:t>кг/м³</m:t>
              </m:r>
            </m:oMath>
          </w:p>
        </w:tc>
      </w:tr>
      <w:tr>
        <w:tc>
          <w:tcPr/>
          <w:p>
            <w:pPr>
              <w:pStyle w:val="Compact"/>
              <w:jc w:val="left"/>
            </w:pPr>
            <m:oMath>
              <m:sSub>
                <m:e>
                  <m:r>
                    <m:t>V</m:t>
                  </m:r>
                </m:e>
                <m:sub>
                  <m:r>
                    <m:t>с</m:t>
                  </m:r>
                  <m:r>
                    <m:t>в</m:t>
                  </m:r>
                </m:sub>
              </m:sSub>
            </m:oMath>
            <w:r>
              <w:t xml:space="preserve"> –</w:t>
            </w:r>
          </w:p>
        </w:tc>
        <w:tc>
          <w:tcPr/>
          <w:p>
            <w:pPr>
              <w:pStyle w:val="Compact"/>
              <w:jc w:val="left"/>
            </w:pPr>
            <w:r>
              <w:t xml:space="preserve">свободный объём помещения</w:t>
            </w:r>
          </w:p>
        </w:tc>
        <w:tc>
          <w:tcPr/>
          <w:p>
            <w:pPr>
              <w:pStyle w:val="Compact"/>
              <w:jc w:val="left"/>
            </w:pPr>
            <m:oMath>
              <m:r>
                <m:t>345</m:t>
              </m:r>
              <m:r>
                <m:rPr>
                  <m:sty m:val="p"/>
                </m:rPr>
                <m:t>,</m:t>
              </m:r>
              <m:r>
                <m:t>6</m:t>
              </m:r>
              <m:r>
                <m:t> </m:t>
              </m:r>
              <m:r>
                <m:rPr>
                  <m:nor/>
                  <m:sty m:val="p"/>
                </m:rPr>
                <m:t>м³</m:t>
              </m:r>
            </m:oMath>
          </w:p>
        </w:tc>
      </w:tr>
      <w:tr>
        <w:tc>
          <w:tcPr/>
          <w:p>
            <w:pPr>
              <w:pStyle w:val="Compact"/>
              <w:jc w:val="left"/>
            </w:pPr>
            <m:oMath>
              <m:sSub>
                <m:e>
                  <m:r>
                    <m:t>C</m:t>
                  </m:r>
                </m:e>
                <m:sub>
                  <m:r>
                    <m:t>Н</m:t>
                  </m:r>
                  <m:r>
                    <m:t>К</m:t>
                  </m:r>
                  <m:r>
                    <m:t>П</m:t>
                  </m:r>
                  <m:r>
                    <m:t>Р</m:t>
                  </m:r>
                </m:sub>
              </m:sSub>
            </m:oMath>
            <w:r>
              <w:t xml:space="preserve"> –</w:t>
            </w:r>
          </w:p>
        </w:tc>
        <w:tc>
          <w:tcPr/>
          <w:p>
            <w:pPr>
              <w:pStyle w:val="Compact"/>
              <w:jc w:val="left"/>
            </w:pPr>
            <w:r>
              <w:t xml:space="preserve">нижний концентрационный предел распространения пламени</w:t>
            </w:r>
          </w:p>
        </w:tc>
        <w:tc>
          <w:tcPr/>
          <w:p>
            <w:pPr>
              <w:pStyle w:val="Compact"/>
              <w:jc w:val="left"/>
            </w:pPr>
            <m:oMath>
              <m:r>
                <m:t>2</m:t>
              </m:r>
              <m:r>
                <m:rPr>
                  <m:sty m:val="p"/>
                </m:rPr>
                <m:t>,</m:t>
              </m:r>
              <m:r>
                <m:t>7</m:t>
              </m:r>
            </m:oMath>
            <w:r>
              <w:t xml:space="preserve"> </w:t>
            </w:r>
            <w:r>
              <w:t xml:space="preserve">% об.</w:t>
            </w:r>
          </w:p>
        </w:tc>
      </w:tr>
    </w:tbl>
    <w:p>
      <w:pPr>
        <w:pStyle w:val="a0"/>
      </w:pPr>
      <m:oMath>
        <m:r>
          <m:t>7</m:t>
        </m:r>
        <m:r>
          <m:rPr>
            <m:sty m:val="p"/>
          </m:rPr>
          <m:t>,</m:t>
        </m:r>
        <m:r>
          <m:t>84</m:t>
        </m:r>
        <m:r>
          <m:rPr>
            <m:sty m:val="p"/>
          </m:rPr>
          <m:t>≥</m:t>
        </m:r>
        <m:r>
          <m:t>1</m:t>
        </m:r>
        <m:r>
          <m:rPr>
            <m:sty m:val="p"/>
          </m:rPr>
          <m:t>,</m:t>
        </m:r>
        <m:r>
          <m:t>35</m:t>
        </m:r>
      </m:oMath>
      <w:r>
        <w:t xml:space="preserve"> </w:t>
      </w:r>
      <w:r>
        <w:t xml:space="preserve">— условие Д.1 не выполняется.</w:t>
      </w:r>
    </w:p>
    <w:p>
      <w:pPr>
        <w:pStyle w:val="a0"/>
      </w:pPr>
      <w:r>
        <w:t xml:space="preserve">Коэффициент</w:t>
      </w:r>
      <w:r>
        <w:t xml:space="preserve"> </w:t>
      </w:r>
      <m:oMath>
        <m:r>
          <m:t>Z</m:t>
        </m:r>
      </m:oMath>
      <w:r>
        <w:t xml:space="preserve"> </w:t>
      </w:r>
      <w:r>
        <w:t xml:space="preserve">принимается по таблице А.1 СП 12:</w:t>
      </w:r>
      <w:r>
        <w:t xml:space="preserve"> </w:t>
      </w:r>
      <m:oMath>
        <m:r>
          <m:t>Z</m:t>
        </m:r>
        <m:r>
          <m:rPr>
            <m:sty m:val="p"/>
          </m:rPr>
          <m:t>=</m:t>
        </m:r>
        <m:r>
          <m:t>0</m:t>
        </m:r>
        <m:r>
          <m:rPr>
            <m:sty m:val="p"/>
          </m:rPr>
          <m:t>,</m:t>
        </m:r>
        <m:r>
          <m:t>3</m:t>
        </m:r>
      </m:oMath>
      <w:r>
        <w:t xml:space="preserve">.</w:t>
      </w:r>
    </w:p>
    <w:p>
      <w:pPr>
        <w:pStyle w:val="a0"/>
      </w:pPr>
      <w:r>
        <w:rPr>
          <w:bCs/>
          <w:b/>
        </w:rPr>
        <w:t xml:space="preserve">Расчёт избыточного давления взрыва</w:t>
      </w:r>
    </w:p>
    <w:p>
      <w:pPr>
        <w:pStyle w:val="a0"/>
      </w:pPr>
      <w:r>
        <w:t xml:space="preserve">Избыточное давление взрыва</w:t>
      </w:r>
      <w:r>
        <w:t xml:space="preserve"> </w:t>
      </w:r>
      <m:oMath>
        <m:r>
          <m:t>Δ</m:t>
        </m:r>
        <m:r>
          <m:t>P</m:t>
        </m:r>
      </m:oMath>
      <w:r>
        <w:t xml:space="preserve"> </w:t>
      </w:r>
      <w:r>
        <w:t xml:space="preserve">для индивидуальных горючих веществ, состоящих из атомов С, Н, О, N, Сl, Вr, I, F определяется по формуле:</w:t>
      </w:r>
    </w:p>
    <w:p>
      <w:pPr>
        <w:pStyle w:val="a0"/>
      </w:pPr>
      <m:oMathPara>
        <m:oMathParaPr>
          <m:jc m:val="center"/>
        </m:oMathParaPr>
        <m:oMath>
          <m:r>
            <m:t>Δ</m:t>
          </m:r>
          <m:r>
            <m:t>P</m:t>
          </m:r>
          <m:r>
            <m:rPr>
              <m:sty m:val="p"/>
            </m:rPr>
            <m:t>=</m:t>
          </m:r>
          <m:d>
            <m:dPr>
              <m:begChr m:val="("/>
              <m:endChr m:val=")"/>
              <m:sepChr m:val=""/>
              <m:grow/>
            </m:dPr>
            <m:e>
              <m:sSub>
                <m:e>
                  <m:r>
                    <m:t>P</m:t>
                  </m:r>
                </m:e>
                <m:sub>
                  <m:r>
                    <m:t>m</m:t>
                  </m:r>
                  <m:r>
                    <m:t>a</m:t>
                  </m:r>
                  <m:r>
                    <m:t>x</m:t>
                  </m:r>
                </m:sub>
              </m:sSub>
              <m:r>
                <m:rPr>
                  <m:sty m:val="p"/>
                </m:rPr>
                <m:t>−</m:t>
              </m:r>
              <m:sSub>
                <m:e>
                  <m:r>
                    <m:t>P</m:t>
                  </m:r>
                </m:e>
                <m:sub>
                  <m:r>
                    <m:t>0</m:t>
                  </m:r>
                </m:sub>
              </m:sSub>
            </m:e>
          </m:d>
          <m:f>
            <m:fPr>
              <m:type m:val="bar"/>
            </m:fPr>
            <m:num>
              <m:r>
                <m:t>m</m:t>
              </m:r>
              <m:r>
                <m:t>Z</m:t>
              </m:r>
            </m:num>
            <m:den>
              <m:sSub>
                <m:e>
                  <m:r>
                    <m:t>V</m:t>
                  </m:r>
                </m:e>
                <m:sub>
                  <m:r>
                    <m:t>с</m:t>
                  </m:r>
                  <m:r>
                    <m:t>в</m:t>
                  </m:r>
                </m:sub>
              </m:sSub>
              <m:sSub>
                <m:e>
                  <m:r>
                    <m:t>ρ</m:t>
                  </m:r>
                </m:e>
                <m:sub>
                  <m:r>
                    <m:t>г</m:t>
                  </m:r>
                  <m:r>
                    <m:rPr>
                      <m:sty m:val="p"/>
                    </m:rPr>
                    <m:t>,</m:t>
                  </m:r>
                  <m:r>
                    <m:t>п</m:t>
                  </m:r>
                </m:sub>
              </m:sSub>
            </m:den>
          </m:f>
          <m:r>
            <m:rPr>
              <m:sty m:val="p"/>
            </m:rPr>
            <m:t>⋅</m:t>
          </m:r>
          <m:f>
            <m:fPr>
              <m:type m:val="bar"/>
            </m:fPr>
            <m:num>
              <m:r>
                <m:t>100</m:t>
              </m:r>
            </m:num>
            <m:den>
              <m:sSub>
                <m:e>
                  <m:r>
                    <m:t>C</m:t>
                  </m:r>
                </m:e>
                <m:sub>
                  <m:r>
                    <m:t>с</m:t>
                  </m:r>
                  <m:r>
                    <m:t>т</m:t>
                  </m:r>
                </m:sub>
              </m:sSub>
            </m:den>
          </m:f>
          <m:r>
            <m:rPr>
              <m:sty m:val="p"/>
            </m:rPr>
            <m:t>⋅</m:t>
          </m:r>
          <m:f>
            <m:fPr>
              <m:type m:val="bar"/>
            </m:fPr>
            <m:num>
              <m:r>
                <m:t>1</m:t>
              </m:r>
            </m:num>
            <m:den>
              <m:sSub>
                <m:e>
                  <m:r>
                    <m:t>K</m:t>
                  </m:r>
                </m:e>
                <m:sub>
                  <m:r>
                    <m:t>н</m:t>
                  </m:r>
                </m:sub>
              </m:sSub>
            </m:den>
          </m:f>
          <m:r>
            <m:rPr>
              <m:sty m:val="p"/>
            </m:rPr>
            <m:t>=</m:t>
          </m:r>
          <m:r>
            <m:t>74</m:t>
          </m:r>
          <m:r>
            <m:rPr>
              <m:sty m:val="p"/>
            </m:rPr>
            <m:t>,</m:t>
          </m:r>
          <m:r>
            <m:t>87</m:t>
          </m:r>
          <m:r>
            <m:t> </m:t>
          </m:r>
          <m:r>
            <m:rPr>
              <m:nor/>
              <m:sty m:val="p"/>
            </m:rPr>
            <m:t>кПа</m:t>
          </m:r>
          <m:r>
            <m:rPr>
              <m:sty m:val="p"/>
            </m:rPr>
            <m:t>,</m:t>
          </m:r>
        </m:oMath>
      </m:oMathPara>
    </w:p>
    <w:p>
      <w:pPr>
        <w:pStyle w:val="FirstParagraph"/>
      </w:pPr>
      <w:r>
        <w:t xml:space="preserve">где:</w:t>
      </w:r>
    </w:p>
    <w:tbl>
      <w:tblPr>
        <w:tblStyle w:val="Table"/>
        <w:tblW w:type="pct" w:w="5000"/>
        <w:tblLook w:firstRow="1" w:lastRow="0" w:firstColumn="0" w:lastColumn="0" w:noHBand="0" w:noVBand="0" w:val="0020"/>
      </w:tblPr>
      <w:tblGrid>
        <w:gridCol w:w="792"/>
        <w:gridCol w:w="5544"/>
        <w:gridCol w:w="1584"/>
      </w:tblGrid>
      <w:tr>
        <w:trPr>
          <w:tblHeader w:val="true"/>
        </w:trPr>
        <w:tc>
          <w:tcPr/>
          <w:p>
            <w:pPr>
              <w:pStyle w:val="Compact"/>
              <w:jc w:val="left"/>
            </w:pPr>
            <m:oMath>
              <m:sSub>
                <m:e>
                  <m:r>
                    <m:t>P</m:t>
                  </m:r>
                </m:e>
                <m:sub>
                  <m:r>
                    <m:t>m</m:t>
                  </m:r>
                  <m:r>
                    <m:t>a</m:t>
                  </m:r>
                  <m:r>
                    <m:t>x</m:t>
                  </m:r>
                </m:sub>
              </m:sSub>
            </m:oMath>
            <w:r>
              <w:t xml:space="preserve"> –</w:t>
            </w:r>
          </w:p>
        </w:tc>
        <w:tc>
          <w:tcPr/>
          <w:p>
            <w:pPr>
              <w:pStyle w:val="Compact"/>
              <w:jc w:val="left"/>
            </w:pPr>
            <w:r>
              <w:t xml:space="preserve">максимальное давление, развиваемое при сгорании стехиометрической газовоздушной или паровоздушной смеси в замкнутом объёме</w:t>
            </w:r>
          </w:p>
        </w:tc>
        <w:tc>
          <w:tcPr/>
          <w:p>
            <w:pPr>
              <w:pStyle w:val="Compact"/>
              <w:jc w:val="left"/>
            </w:pPr>
            <m:oMath>
              <m:r>
                <m:t>570</m:t>
              </m:r>
              <m:r>
                <m:t> </m:t>
              </m:r>
              <m:r>
                <m:rPr>
                  <m:nor/>
                  <m:sty m:val="p"/>
                </m:rPr>
                <m:t>кПа</m:t>
              </m:r>
            </m:oMath>
          </w:p>
        </w:tc>
      </w:tr>
      <w:tr>
        <w:tc>
          <w:tcPr/>
          <w:p>
            <w:pPr>
              <w:pStyle w:val="Compact"/>
              <w:jc w:val="left"/>
            </w:pPr>
            <m:oMath>
              <m:sSub>
                <m:e>
                  <m:r>
                    <m:t>P</m:t>
                  </m:r>
                </m:e>
                <m:sub>
                  <m:r>
                    <m:t>0</m:t>
                  </m:r>
                </m:sub>
              </m:sSub>
            </m:oMath>
            <w:r>
              <w:t xml:space="preserve"> –</w:t>
            </w:r>
          </w:p>
        </w:tc>
        <w:tc>
          <w:tcPr/>
          <w:p>
            <w:pPr>
              <w:pStyle w:val="Compact"/>
              <w:jc w:val="left"/>
            </w:pPr>
            <w:r>
              <w:t xml:space="preserve">начальное давление</w:t>
            </w:r>
          </w:p>
        </w:tc>
        <w:tc>
          <w:tcPr/>
          <w:p>
            <w:pPr>
              <w:pStyle w:val="Compact"/>
              <w:jc w:val="left"/>
            </w:pPr>
            <m:oMath>
              <m:r>
                <m:t>101</m:t>
              </m:r>
              <m:r>
                <m:t>к</m:t>
              </m:r>
              <m:r>
                <m:t>П</m:t>
              </m:r>
              <m:r>
                <m:t>а</m:t>
              </m:r>
            </m:oMath>
          </w:p>
        </w:tc>
      </w:tr>
      <w:tr>
        <w:tc>
          <w:tcPr/>
          <w:p>
            <w:pPr>
              <w:pStyle w:val="Compact"/>
              <w:jc w:val="left"/>
            </w:pPr>
            <m:oMath>
              <m:r>
                <m:t>m</m:t>
              </m:r>
            </m:oMath>
            <w:r>
              <w:t xml:space="preserve"> –</w:t>
            </w:r>
          </w:p>
        </w:tc>
        <w:tc>
          <w:tcPr/>
          <w:p>
            <w:pPr>
              <w:pStyle w:val="Compact"/>
              <w:jc w:val="left"/>
            </w:pPr>
            <w:r>
              <w:t xml:space="preserve">масса горючего вещества</w:t>
            </w:r>
          </w:p>
        </w:tc>
        <w:tc>
          <w:tcPr/>
          <w:p>
            <w:pPr>
              <w:pStyle w:val="Compact"/>
              <w:jc w:val="left"/>
            </w:pPr>
            <m:oMath>
              <m:r>
                <m:t>63</m:t>
              </m:r>
              <m:r>
                <m:rPr>
                  <m:sty m:val="p"/>
                </m:rPr>
                <m:t>,</m:t>
              </m:r>
              <m:r>
                <m:t>28</m:t>
              </m:r>
              <m:r>
                <m:t> </m:t>
              </m:r>
              <m:r>
                <m:rPr>
                  <m:nor/>
                  <m:sty m:val="p"/>
                </m:rPr>
                <m:t>кг</m:t>
              </m:r>
            </m:oMath>
          </w:p>
        </w:tc>
      </w:tr>
      <w:tr>
        <w:tc>
          <w:tcPr/>
          <w:p>
            <w:pPr>
              <w:pStyle w:val="Compact"/>
              <w:jc w:val="left"/>
            </w:pPr>
            <m:oMath>
              <m:r>
                <m:t>Z</m:t>
              </m:r>
            </m:oMath>
            <w:r>
              <w:t xml:space="preserve"> –</w:t>
            </w:r>
          </w:p>
        </w:tc>
        <w:tc>
          <w:tcPr/>
          <w:p>
            <w:pPr>
              <w:pStyle w:val="Compact"/>
              <w:jc w:val="left"/>
            </w:pPr>
            <w:r>
              <w:t xml:space="preserve">коэффициент участия горючих веществ в горении</w:t>
            </w:r>
          </w:p>
        </w:tc>
        <w:tc>
          <w:tcPr/>
          <w:p>
            <w:pPr>
              <w:pStyle w:val="Compact"/>
              <w:jc w:val="left"/>
            </w:pPr>
            <m:oMath>
              <m:r>
                <m:t>0</m:t>
              </m:r>
              <m:r>
                <m:rPr>
                  <m:sty m:val="p"/>
                </m:rPr>
                <m:t>,</m:t>
              </m:r>
              <m:r>
                <m:t>3</m:t>
              </m:r>
            </m:oMath>
          </w:p>
        </w:tc>
      </w:tr>
      <w:tr>
        <w:tc>
          <w:tcPr/>
          <w:p>
            <w:pPr>
              <w:pStyle w:val="Compact"/>
              <w:jc w:val="left"/>
            </w:pPr>
            <m:oMath>
              <m:sSub>
                <m:e>
                  <m:r>
                    <m:t>V</m:t>
                  </m:r>
                </m:e>
                <m:sub>
                  <m:r>
                    <m:t>с</m:t>
                  </m:r>
                  <m:r>
                    <m:t>в</m:t>
                  </m:r>
                </m:sub>
              </m:sSub>
            </m:oMath>
            <w:r>
              <w:t xml:space="preserve"> –</w:t>
            </w:r>
          </w:p>
        </w:tc>
        <w:tc>
          <w:tcPr/>
          <w:p>
            <w:pPr>
              <w:pStyle w:val="Compact"/>
              <w:jc w:val="left"/>
            </w:pPr>
            <w:r>
              <w:t xml:space="preserve">свободный объём помещения</w:t>
            </w:r>
          </w:p>
        </w:tc>
        <w:tc>
          <w:tcPr/>
          <w:p>
            <w:pPr>
              <w:pStyle w:val="Compact"/>
              <w:jc w:val="left"/>
            </w:pPr>
            <m:oMath>
              <m:r>
                <m:t>345</m:t>
              </m:r>
              <m:r>
                <m:rPr>
                  <m:sty m:val="p"/>
                </m:rPr>
                <m:t>,</m:t>
              </m:r>
              <m:r>
                <m:t>6</m:t>
              </m:r>
              <m:r>
                <m:t> </m:t>
              </m:r>
              <m:r>
                <m:rPr>
                  <m:nor/>
                  <m:sty m:val="p"/>
                </m:rPr>
                <m:t>м³</m:t>
              </m:r>
            </m:oMath>
          </w:p>
        </w:tc>
      </w:tr>
      <w:tr>
        <w:tc>
          <w:tcPr/>
          <w:p>
            <w:pPr>
              <w:pStyle w:val="Compact"/>
              <w:jc w:val="left"/>
            </w:pPr>
            <m:oMath>
              <m:sSub>
                <m:e>
                  <m:r>
                    <m:t>ρ</m:t>
                  </m:r>
                </m:e>
                <m:sub>
                  <m:r>
                    <m:t>г</m:t>
                  </m:r>
                  <m:r>
                    <m:rPr>
                      <m:sty m:val="p"/>
                    </m:rPr>
                    <m:t>,</m:t>
                  </m:r>
                  <m:r>
                    <m:t>п</m:t>
                  </m:r>
                </m:sub>
              </m:sSub>
            </m:oMath>
            <w:r>
              <w:t xml:space="preserve"> –</w:t>
            </w:r>
          </w:p>
        </w:tc>
        <w:tc>
          <w:tcPr/>
          <w:p>
            <w:pPr>
              <w:pStyle w:val="Compact"/>
              <w:jc w:val="left"/>
            </w:pPr>
            <w:r>
              <w:t xml:space="preserve">плотность газа или пара при расчётной температуре (</w:t>
            </w:r>
            <m:oMath>
              <m:r>
                <m:t>30</m:t>
              </m:r>
              <m:r>
                <m:t> </m:t>
              </m:r>
              <m:r>
                <m:rPr>
                  <m:nor/>
                  <m:sty m:val="p"/>
                </m:rPr>
                <m:t>°C</m:t>
              </m:r>
            </m:oMath>
            <w:r>
              <w:t xml:space="preserve">)</w:t>
            </w:r>
          </w:p>
        </w:tc>
        <w:tc>
          <w:tcPr/>
          <w:p>
            <w:pPr>
              <w:pStyle w:val="Compact"/>
              <w:jc w:val="left"/>
            </w:pPr>
            <m:oMath>
              <m:r>
                <m:t>2</m:t>
              </m:r>
              <m:r>
                <m:rPr>
                  <m:sty m:val="p"/>
                </m:rPr>
                <m:t>,</m:t>
              </m:r>
              <m:r>
                <m:t>335</m:t>
              </m:r>
              <m:r>
                <m:t> </m:t>
              </m:r>
              <m:r>
                <m:rPr>
                  <m:nor/>
                  <m:sty m:val="p"/>
                </m:rPr>
                <m:t>кг/м³</m:t>
              </m:r>
            </m:oMath>
          </w:p>
        </w:tc>
      </w:tr>
      <w:tr>
        <w:tc>
          <w:tcPr/>
          <w:p>
            <w:pPr>
              <w:pStyle w:val="Compact"/>
              <w:jc w:val="left"/>
            </w:pPr>
            <m:oMath>
              <m:sSub>
                <m:e>
                  <m:r>
                    <m:t>C</m:t>
                  </m:r>
                </m:e>
                <m:sub>
                  <m:r>
                    <m:t>с</m:t>
                  </m:r>
                  <m:r>
                    <m:t>т</m:t>
                  </m:r>
                </m:sub>
              </m:sSub>
            </m:oMath>
            <w:r>
              <w:t xml:space="preserve"> –</w:t>
            </w:r>
          </w:p>
        </w:tc>
        <w:tc>
          <w:tcPr/>
          <w:p>
            <w:pPr>
              <w:pStyle w:val="Compact"/>
              <w:jc w:val="left"/>
            </w:pPr>
            <w:r>
              <w:t xml:space="preserve">стехиометрическая концентрация ГГ или паров ЛВЖ и ГЖ</w:t>
            </w:r>
            <w:r>
              <w:t xml:space="preserve"> </w:t>
            </w:r>
            <m:oMath>
              <m:d>
                <m:dPr>
                  <m:begChr m:val="("/>
                  <m:endChr m:val=")"/>
                  <m:sepChr m:val=""/>
                  <m:grow/>
                </m:dPr>
                <m:e>
                  <m:r>
                    <m:t>100</m:t>
                  </m:r>
                  <m:r>
                    <m:rPr>
                      <m:sty m:val="p"/>
                    </m:rPr>
                    <m:t>/</m:t>
                  </m:r>
                  <m:d>
                    <m:dPr>
                      <m:begChr m:val="("/>
                      <m:endChr m:val=")"/>
                      <m:sepChr m:val=""/>
                      <m:grow/>
                    </m:dPr>
                    <m:e>
                      <m:r>
                        <m:t>1</m:t>
                      </m:r>
                      <m:r>
                        <m:rPr>
                          <m:sty m:val="p"/>
                        </m:rPr>
                        <m:t>+</m:t>
                      </m:r>
                      <m:r>
                        <m:t>4</m:t>
                      </m:r>
                      <m:r>
                        <m:rPr>
                          <m:sty m:val="p"/>
                        </m:rPr>
                        <m:t>,</m:t>
                      </m:r>
                      <m:r>
                        <m:t>84</m:t>
                      </m:r>
                      <m:r>
                        <m:rPr>
                          <m:sty m:val="p"/>
                        </m:rPr>
                        <m:t>⋅</m:t>
                      </m:r>
                      <m:r>
                        <m:t>4</m:t>
                      </m:r>
                    </m:e>
                  </m:d>
                </m:e>
              </m:d>
            </m:oMath>
          </w:p>
        </w:tc>
        <w:tc>
          <w:tcPr/>
          <w:p>
            <w:pPr>
              <w:pStyle w:val="Compact"/>
              <w:jc w:val="left"/>
            </w:pPr>
            <m:oMath>
              <m:r>
                <m:t>4</m:t>
              </m:r>
              <m:r>
                <m:rPr>
                  <m:sty m:val="p"/>
                </m:rPr>
                <m:t>,</m:t>
              </m:r>
              <m:r>
                <m:t>91</m:t>
              </m:r>
            </m:oMath>
            <w:r>
              <w:t xml:space="preserve"> % об.</w:t>
            </w:r>
          </w:p>
        </w:tc>
      </w:tr>
      <w:tr>
        <w:tc>
          <w:tcPr/>
          <w:p>
            <w:pPr>
              <w:pStyle w:val="Compact"/>
              <w:jc w:val="left"/>
            </w:pPr>
            <m:oMath>
              <m:sSub>
                <m:e>
                  <m:r>
                    <m:t>K</m:t>
                  </m:r>
                </m:e>
                <m:sub>
                  <m:r>
                    <m:t>н</m:t>
                  </m:r>
                </m:sub>
              </m:sSub>
            </m:oMath>
            <w:r>
              <w:t xml:space="preserve"> –</w:t>
            </w:r>
          </w:p>
        </w:tc>
        <w:tc>
          <w:tcPr/>
          <w:p>
            <w:pPr>
              <w:pStyle w:val="Compact"/>
              <w:jc w:val="left"/>
            </w:pPr>
            <w:r>
              <w:t xml:space="preserve">коэффициент, учитывающий негерметичность помещения и неадиабатичность процесса горения</w:t>
            </w:r>
          </w:p>
        </w:tc>
        <w:tc>
          <w:tcPr/>
          <w:p>
            <w:pPr>
              <w:pStyle w:val="Compact"/>
              <w:jc w:val="left"/>
            </w:pPr>
            <m:oMath>
              <m:r>
                <m:t>3</m:t>
              </m:r>
            </m:oMath>
          </w:p>
        </w:tc>
      </w:tr>
    </w:tbl>
    <w:p>
      <w:pPr>
        <w:pStyle w:val="a0"/>
      </w:pPr>
      <w:r>
        <w:rPr>
          <w:bCs/>
          <w:b/>
        </w:rPr>
        <w:t xml:space="preserve">Определение объёма взрывоопасной смеси</w:t>
      </w:r>
    </w:p>
    <w:p>
      <w:pPr>
        <w:pStyle w:val="a0"/>
      </w:pPr>
      <w:r>
        <w:t xml:space="preserve">Объём пара:</w:t>
      </w:r>
    </w:p>
    <w:p>
      <w:pPr>
        <w:pStyle w:val="a0"/>
      </w:pPr>
      <m:oMathPara>
        <m:oMathParaPr>
          <m:jc m:val="center"/>
        </m:oMathParaPr>
        <m:oMath>
          <m:sSub>
            <m:e>
              <m:r>
                <m:t>V</m:t>
              </m:r>
            </m:e>
            <m:sub>
              <m:r>
                <m:t>п</m:t>
              </m:r>
            </m:sub>
          </m:sSub>
          <m:r>
            <m:rPr>
              <m:sty m:val="p"/>
            </m:rPr>
            <m:t>=</m:t>
          </m:r>
          <m:r>
            <m:t>m</m:t>
          </m:r>
          <m:r>
            <m:t>Z</m:t>
          </m:r>
          <m:r>
            <m:rPr>
              <m:sty m:val="p"/>
            </m:rPr>
            <m:t>/</m:t>
          </m:r>
          <m:sSub>
            <m:e>
              <m:r>
                <m:t>ρ</m:t>
              </m:r>
            </m:e>
            <m:sub>
              <m:r>
                <m:t>п</m:t>
              </m:r>
            </m:sub>
          </m:sSub>
          <m:r>
            <m:rPr>
              <m:sty m:val="p"/>
            </m:rPr>
            <m:t>=</m:t>
          </m:r>
          <m:r>
            <m:t>8</m:t>
          </m:r>
          <m:r>
            <m:rPr>
              <m:sty m:val="p"/>
            </m:rPr>
            <m:t>,</m:t>
          </m:r>
          <m:r>
            <m:t>1</m:t>
          </m:r>
          <m:r>
            <m:t> </m:t>
          </m:r>
          <m:r>
            <m:rPr>
              <m:nor/>
              <m:sty m:val="p"/>
            </m:rPr>
            <m:t>м³</m:t>
          </m:r>
          <m:r>
            <m:rPr>
              <m:sty m:val="p"/>
            </m:rPr>
            <m:t>,</m:t>
          </m:r>
        </m:oMath>
      </m:oMathPara>
    </w:p>
    <w:p>
      <w:pPr>
        <w:pStyle w:val="FirstParagraph"/>
      </w:pPr>
      <w:r>
        <w:t xml:space="preserve">где:</w:t>
      </w:r>
    </w:p>
    <w:tbl>
      <w:tblPr>
        <w:tblStyle w:val="Table"/>
        <w:tblW w:type="pct" w:w="5000"/>
        <w:tblLook w:firstRow="1" w:lastRow="0" w:firstColumn="0" w:lastColumn="0" w:noHBand="0" w:noVBand="0" w:val="0020"/>
      </w:tblPr>
      <w:tblGrid>
        <w:gridCol w:w="792"/>
        <w:gridCol w:w="5544"/>
        <w:gridCol w:w="1584"/>
      </w:tblGrid>
      <w:tr>
        <w:trPr>
          <w:tblHeader w:val="true"/>
        </w:trPr>
        <w:tc>
          <w:tcPr/>
          <w:p>
            <w:pPr>
              <w:pStyle w:val="Compact"/>
              <w:jc w:val="left"/>
            </w:pPr>
            <m:oMath>
              <m:r>
                <m:t>m</m:t>
              </m:r>
            </m:oMath>
            <w:r>
              <w:t xml:space="preserve"> –</w:t>
            </w:r>
          </w:p>
        </w:tc>
        <w:tc>
          <w:tcPr/>
          <w:p>
            <w:pPr>
              <w:pStyle w:val="Compact"/>
              <w:jc w:val="left"/>
            </w:pPr>
            <w:r>
              <w:t xml:space="preserve">масса горючего вещества</w:t>
            </w:r>
          </w:p>
        </w:tc>
        <w:tc>
          <w:tcPr/>
          <w:p>
            <w:pPr>
              <w:pStyle w:val="Compact"/>
              <w:jc w:val="left"/>
            </w:pPr>
            <m:oMath>
              <m:r>
                <m:t>63</m:t>
              </m:r>
              <m:r>
                <m:rPr>
                  <m:sty m:val="p"/>
                </m:rPr>
                <m:t>,</m:t>
              </m:r>
              <m:r>
                <m:t>28</m:t>
              </m:r>
              <m:r>
                <m:t> </m:t>
              </m:r>
              <m:r>
                <m:rPr>
                  <m:nor/>
                  <m:sty m:val="p"/>
                </m:rPr>
                <m:t>кг</m:t>
              </m:r>
            </m:oMath>
          </w:p>
        </w:tc>
      </w:tr>
      <w:tr>
        <w:tc>
          <w:tcPr/>
          <w:p>
            <w:pPr>
              <w:pStyle w:val="Compact"/>
              <w:jc w:val="left"/>
            </w:pPr>
            <m:oMath>
              <m:r>
                <m:t>Z</m:t>
              </m:r>
            </m:oMath>
            <w:r>
              <w:t xml:space="preserve"> –</w:t>
            </w:r>
          </w:p>
        </w:tc>
        <w:tc>
          <w:tcPr/>
          <w:p>
            <w:pPr>
              <w:pStyle w:val="Compact"/>
              <w:jc w:val="left"/>
            </w:pPr>
            <w:r>
              <w:t xml:space="preserve">коэффициент участия горючих веществ в горении</w:t>
            </w:r>
          </w:p>
        </w:tc>
        <w:tc>
          <w:tcPr/>
          <w:p>
            <w:pPr>
              <w:pStyle w:val="Compact"/>
              <w:jc w:val="left"/>
            </w:pPr>
            <m:oMath>
              <m:r>
                <m:t>0</m:t>
              </m:r>
              <m:r>
                <m:rPr>
                  <m:sty m:val="p"/>
                </m:rPr>
                <m:t>,</m:t>
              </m:r>
              <m:r>
                <m:t>3</m:t>
              </m:r>
            </m:oMath>
          </w:p>
        </w:tc>
      </w:tr>
      <w:tr>
        <w:tc>
          <w:tcPr/>
          <w:p>
            <w:pPr>
              <w:pStyle w:val="Compact"/>
              <w:jc w:val="left"/>
            </w:pPr>
            <m:oMath>
              <m:sSub>
                <m:e>
                  <m:r>
                    <m:t>ρ</m:t>
                  </m:r>
                </m:e>
                <m:sub>
                  <m:r>
                    <m:t>г</m:t>
                  </m:r>
                </m:sub>
              </m:sSub>
            </m:oMath>
            <w:r>
              <w:t xml:space="preserve"> –</w:t>
            </w:r>
          </w:p>
        </w:tc>
        <w:tc>
          <w:tcPr/>
          <w:p>
            <w:pPr>
              <w:pStyle w:val="Compact"/>
              <w:jc w:val="left"/>
            </w:pPr>
            <w:r>
              <w:t xml:space="preserve">плотность пара при расчётной температуре</w:t>
            </w:r>
          </w:p>
        </w:tc>
        <w:tc>
          <w:tcPr/>
          <w:p>
            <w:pPr>
              <w:pStyle w:val="Compact"/>
              <w:jc w:val="left"/>
            </w:pPr>
            <m:oMath>
              <m:r>
                <m:t>2</m:t>
              </m:r>
              <m:r>
                <m:rPr>
                  <m:sty m:val="p"/>
                </m:rPr>
                <m:t>,</m:t>
              </m:r>
              <m:r>
                <m:t>335</m:t>
              </m:r>
              <m:r>
                <m:t> </m:t>
              </m:r>
              <m:r>
                <m:rPr>
                  <m:nor/>
                  <m:sty m:val="p"/>
                </m:rPr>
                <m:t>кг/м³</m:t>
              </m:r>
            </m:oMath>
          </w:p>
        </w:tc>
      </w:tr>
    </w:tbl>
    <w:p>
      <w:pPr>
        <w:pStyle w:val="a0"/>
      </w:pPr>
      <w:r>
        <w:t xml:space="preserve">Объём взрывоопасной смеси:</w:t>
      </w:r>
    </w:p>
    <w:p>
      <w:pPr>
        <w:pStyle w:val="a0"/>
      </w:pPr>
      <m:oMathPara>
        <m:oMathParaPr>
          <m:jc m:val="center"/>
        </m:oMathParaPr>
        <m:oMath>
          <m:sSub>
            <m:e>
              <m:r>
                <m:t>V</m:t>
              </m:r>
            </m:e>
            <m:sub>
              <m:r>
                <m:t>В</m:t>
              </m:r>
              <m:r>
                <m:rPr>
                  <m:sty m:val="p"/>
                </m:rPr>
                <m:t>.</m:t>
              </m:r>
              <m:r>
                <m:t>О</m:t>
              </m:r>
              <m:r>
                <m:rPr>
                  <m:sty m:val="p"/>
                </m:rPr>
                <m:t>.</m:t>
              </m:r>
              <m:r>
                <m:t>С</m:t>
              </m:r>
              <m:r>
                <m:rPr>
                  <m:sty m:val="p"/>
                </m:rPr>
                <m:t>.</m:t>
              </m:r>
            </m:sub>
          </m:sSub>
          <m:r>
            <m:rPr>
              <m:sty m:val="p"/>
            </m:rPr>
            <m:t>=</m:t>
          </m:r>
          <m:sSub>
            <m:e>
              <m:r>
                <m:t>V</m:t>
              </m:r>
            </m:e>
            <m:sub>
              <m:r>
                <m:t>п</m:t>
              </m:r>
            </m:sub>
          </m:sSub>
          <m:r>
            <m:rPr>
              <m:sty m:val="p"/>
            </m:rPr>
            <m:t>⋅</m:t>
          </m:r>
          <m:r>
            <m:t>100</m:t>
          </m:r>
          <m:r>
            <m:rPr>
              <m:sty m:val="p"/>
            </m:rPr>
            <m:t>/</m:t>
          </m:r>
          <m:sSub>
            <m:e>
              <m:r>
                <m:t>C</m:t>
              </m:r>
            </m:e>
            <m:sub>
              <m:r>
                <m:t>Н</m:t>
              </m:r>
              <m:r>
                <m:t>К</m:t>
              </m:r>
              <m:r>
                <m:t>П</m:t>
              </m:r>
              <m:r>
                <m:t>Р</m:t>
              </m:r>
            </m:sub>
          </m:sSub>
          <m:r>
            <m:rPr>
              <m:sty m:val="p"/>
            </m:rPr>
            <m:t>=</m:t>
          </m:r>
          <m:r>
            <m:t>301</m:t>
          </m:r>
          <m:r>
            <m:rPr>
              <m:sty m:val="p"/>
            </m:rPr>
            <m:t>,</m:t>
          </m:r>
          <m:r>
            <m:t>1</m:t>
          </m:r>
          <m:r>
            <m:t> </m:t>
          </m:r>
          <m:r>
            <m:rPr>
              <m:nor/>
              <m:sty m:val="p"/>
            </m:rPr>
            <m:t>м³</m:t>
          </m:r>
          <m:r>
            <m:rPr>
              <m:sty m:val="p"/>
            </m:rPr>
            <m:t>,</m:t>
          </m:r>
        </m:oMath>
      </m:oMathPara>
    </w:p>
    <w:p>
      <w:pPr>
        <w:pStyle w:val="FirstParagraph"/>
      </w:pPr>
      <w:r>
        <w:t xml:space="preserve">где</w:t>
      </w:r>
      <w:r>
        <w:t xml:space="preserve"> </w:t>
      </w:r>
      <m:oMath>
        <m:sSub>
          <m:e>
            <m:r>
              <m:t>C</m:t>
            </m:r>
          </m:e>
          <m:sub>
            <m:r>
              <m:t>Н</m:t>
            </m:r>
            <m:r>
              <m:t>К</m:t>
            </m:r>
            <m:r>
              <m:t>П</m:t>
            </m:r>
            <m:r>
              <m:t>Р</m:t>
            </m:r>
          </m:sub>
        </m:sSub>
        <m:r>
          <m:rPr>
            <m:sty m:val="p"/>
          </m:rPr>
          <m:t>=</m:t>
        </m:r>
        <m:r>
          <m:t>2</m:t>
        </m:r>
        <m:r>
          <m:rPr>
            <m:sty m:val="p"/>
          </m:rPr>
          <m:t>,</m:t>
        </m:r>
        <m:r>
          <m:t>7</m:t>
        </m:r>
      </m:oMath>
      <w:r>
        <w:t xml:space="preserve"> % об. — нижний концентрационный предел распространения пламени.</w:t>
      </w:r>
    </w:p>
    <w:p>
      <w:pPr>
        <w:pStyle w:val="a0"/>
      </w:pPr>
      <w:r>
        <w:t xml:space="preserve">Максимальное избыточное давление взрыва на участке «Участок_02» составляет</w:t>
      </w:r>
      <w:r>
        <w:t xml:space="preserve"> </w:t>
      </w:r>
      <m:oMath>
        <m:r>
          <m:t>74</m:t>
        </m:r>
        <m:r>
          <m:rPr>
            <m:sty m:val="p"/>
          </m:rPr>
          <m:t>,</m:t>
        </m:r>
        <m:r>
          <m:t>87</m:t>
        </m:r>
        <m:r>
          <m:t> </m:t>
        </m:r>
        <m:r>
          <m:rPr>
            <m:nor/>
            <m:sty m:val="p"/>
          </m:rPr>
          <m:t>кПа</m:t>
        </m:r>
      </m:oMath>
      <w:r>
        <w:t xml:space="preserve">.</w:t>
      </w:r>
    </w:p>
    <w:bookmarkEnd w:id="57"/>
    <w:bookmarkEnd w:id="58"/>
    <w:bookmarkStart w:id="59" w:name="определение-категории-помещения-3"/>
    <w:p>
      <w:pPr>
        <w:pStyle w:val="3"/>
      </w:pPr>
      <w:r>
        <w:t xml:space="preserve">Определение категории помещения</w:t>
      </w:r>
    </w:p>
    <w:p>
      <w:pPr>
        <w:pStyle w:val="FirstParagraph"/>
      </w:pPr>
      <w:r>
        <w:t xml:space="preserve">Рассчитанное избыточное давление взрыва на участках:</w:t>
      </w:r>
    </w:p>
    <w:tbl>
      <w:tblPr>
        <w:tblStyle w:val="Table"/>
        <w:tblW w:type="pct" w:w="5000"/>
        <w:tblLook w:firstRow="1" w:lastRow="0" w:firstColumn="0" w:lastColumn="0" w:noHBand="0" w:noVBand="0" w:val="0020"/>
      </w:tblPr>
      <w:tblGrid>
        <w:gridCol w:w="3960"/>
        <w:gridCol w:w="3960"/>
      </w:tblGrid>
      <w:tr>
        <w:trPr>
          <w:tblHeader w:val="true"/>
        </w:trPr>
        <w:tc>
          <w:tcPr/>
          <w:p>
            <w:pPr>
              <w:pStyle w:val="Compact"/>
              <w:jc w:val="left"/>
            </w:pPr>
            <w:r>
              <w:t xml:space="preserve">Участок</w:t>
            </w:r>
          </w:p>
        </w:tc>
        <w:tc>
          <w:tcPr/>
          <w:p>
            <w:pPr>
              <w:pStyle w:val="Compact"/>
              <w:jc w:val="left"/>
            </w:pPr>
            <w:r>
              <w:t xml:space="preserve">Рассчитанное избыточное давление взрыва</w:t>
            </w:r>
          </w:p>
        </w:tc>
      </w:tr>
      <w:tr>
        <w:tc>
          <w:tcPr/>
          <w:p>
            <w:pPr>
              <w:pStyle w:val="Compact"/>
              <w:jc w:val="left"/>
            </w:pPr>
            <w:r>
              <w:t xml:space="preserve">Участок_02</w:t>
            </w:r>
          </w:p>
        </w:tc>
        <w:tc>
          <w:tcPr/>
          <w:p>
            <w:pPr>
              <w:pStyle w:val="Compact"/>
              <w:jc w:val="left"/>
            </w:pPr>
            <w:r>
              <w:t xml:space="preserve">74,87 кПа</w:t>
            </w:r>
          </w:p>
        </w:tc>
      </w:tr>
    </w:tbl>
    <w:p>
      <w:pPr>
        <w:pStyle w:val="a0"/>
      </w:pPr>
      <w:r>
        <w:t xml:space="preserve">В помещении обращаются горючие газы и (или) легковоспламеняющиеся жидкости с температурой вспышки не более 28 °С в таком количестве, что могут образовывать взрывоопасные парогазовоздушные смеси, при воспламенении которых развивается расчётное избыточное давление взрыва в помещении, превышающее 5 кПа, поэтому помещение относится к категории А.</w:t>
      </w:r>
    </w:p>
    <w:bookmarkEnd w:id="59"/>
    <w:bookmarkStart w:id="60" w:name="X956dcb90b85ae784fbf2e789620b662936f5eb8"/>
    <w:p>
      <w:pPr>
        <w:pStyle w:val="3"/>
      </w:pPr>
      <w:r>
        <w:t xml:space="preserve">Определение класса зоны помещения по ПУЭ</w:t>
      </w:r>
    </w:p>
    <w:p>
      <w:pPr>
        <w:pStyle w:val="FirstParagraph"/>
      </w:pPr>
      <w:r>
        <w:t xml:space="preserve">Согласно п. 7.3.38 ПУЭ, класс взрывоопасной зоны определяется технологами совместно с электриками проектной или эксплуатирующей организации.</w:t>
      </w:r>
    </w:p>
    <w:p>
      <w:pPr>
        <w:pStyle w:val="a0"/>
      </w:pPr>
      <w:r>
        <w:t xml:space="preserve">Согласно п. 7.3.41 ПУЭ, зоны, расположенные в помещениях, в которых при нормальной эксплуатации взрывоопасные смеси горючих газов или паров ЛВЖ с воздухом не образуются, а возможны только в результате аварий или неисправностей,</w:t>
      </w:r>
      <w:r>
        <w:t xml:space="preserve"> </w:t>
      </w:r>
      <w:r>
        <w:rPr>
          <w:bCs/>
          <w:b/>
        </w:rPr>
        <w:t xml:space="preserve">относятся к классу В-Iа</w:t>
      </w:r>
      <w:r>
        <w:t xml:space="preserve">.</w:t>
      </w:r>
    </w:p>
    <w:p>
      <w:pPr>
        <w:pStyle w:val="a0"/>
      </w:pPr>
      <w:r>
        <w:t xml:space="preserve">При определении размеров взрывоопасных зон принимается, что (п. 7.3.39 ПУЭ):</w:t>
      </w:r>
    </w:p>
    <w:p>
      <w:pPr>
        <w:pStyle w:val="a0"/>
      </w:pPr>
      <w:r>
        <w:t xml:space="preserve">а) взрывоопасная зона в помещении занимает весь объём помещения, если объём взрывоопасной смеси превышает 5% свободного объёма помещения;</w:t>
      </w:r>
    </w:p>
    <w:p>
      <w:pPr>
        <w:pStyle w:val="a0"/>
      </w:pPr>
      <w:r>
        <w:t xml:space="preserve">б) взрывоопасной считается зона в помещении в пределах до 5 м по горизонтали и вертикали от технологического аппарата, из которого возможно выделение горючих газов или паров ЛВЖ, если объём взрывоопасной смеси равен или менее 5% свободного объёма помещения.</w:t>
      </w:r>
    </w:p>
    <w:p>
      <w:pPr>
        <w:pStyle w:val="a0"/>
      </w:pPr>
      <w:r>
        <w:t xml:space="preserve">Объём взрывоопасной смеси превышает 5% свободного объёма помещения.</w:t>
      </w:r>
    </w:p>
    <w:bookmarkEnd w:id="60"/>
    <w:bookmarkStart w:id="61" w:name="Xeac7598019f31f8be83b60a83da361ebbed3adf"/>
    <w:p>
      <w:pPr>
        <w:pStyle w:val="3"/>
      </w:pPr>
      <w:r>
        <w:t xml:space="preserve">Определение класса зоны помещения по ФЗ № 123</w:t>
      </w:r>
    </w:p>
    <w:p>
      <w:pPr>
        <w:pStyle w:val="FirstParagraph"/>
      </w:pPr>
      <w:r>
        <w:t xml:space="preserve">Согласно ст. 19 «Технического регламента о требованиях пожарной безопасности», зоны, в которых при нормальном режиме работы оборудования не образуются взрывоопасные смеси газов или паров жидкостей с воздухом, но возможно образование такой взрывоопасной смеси газов или паров жидкостей с воздухом только в результате аварии или повреждения технологического оборудования,</w:t>
      </w:r>
      <w:r>
        <w:t xml:space="preserve"> </w:t>
      </w:r>
      <w:r>
        <w:rPr>
          <w:bCs/>
          <w:b/>
        </w:rPr>
        <w:t xml:space="preserve">относятся к классу 2</w:t>
      </w:r>
      <w:r>
        <w:t xml:space="preserve">.</w:t>
      </w:r>
    </w:p>
    <w:bookmarkEnd w:id="61"/>
    <w:bookmarkEnd w:id="62"/>
    <w:bookmarkStart w:id="73" w:name="Xb2bf7e5df7c3cf8ec6e461d28cb1a0b48856af5"/>
    <w:p>
      <w:pPr>
        <w:pStyle w:val="2"/>
      </w:pPr>
      <w:r>
        <w:t xml:space="preserve">Этаж 2. Помещение «Помещение сушильно-пропиточного отделения электромашинного цеха»</w:t>
      </w:r>
    </w:p>
    <w:p>
      <w:pPr>
        <w:pStyle w:val="FirstParagraph"/>
      </w:pPr>
      <w:r>
        <w:t xml:space="preserve">В помещении находится два бака для покрытия лаком БТ-99 полюсных катушек способом окунания с подводящими и отводящими трубопроводами</w:t>
      </w:r>
    </w:p>
    <w:p>
      <w:pPr>
        <w:pStyle w:val="a0"/>
      </w:pPr>
      <w:r>
        <w:t xml:space="preserve">В каждый бак попеременно загружается и выгружается единовременно по 10 шт. полюсных катушек, размещаемых в корзине</w:t>
      </w:r>
    </w:p>
    <w:tbl>
      <w:tblPr>
        <w:tblStyle w:val="Table"/>
        <w:tblW w:type="pct" w:w="5000"/>
        <w:tblLook w:firstRow="1" w:lastRow="0" w:firstColumn="0" w:lastColumn="0" w:noHBand="0" w:noVBand="0" w:val="0020"/>
      </w:tblPr>
      <w:tblGrid>
        <w:gridCol w:w="5544"/>
        <w:gridCol w:w="2376"/>
      </w:tblGrid>
      <w:tr>
        <w:trPr>
          <w:tblHeader w:val="true"/>
        </w:trPr>
        <w:tc>
          <w:tcPr/>
          <w:p>
            <w:pPr>
              <w:pStyle w:val="Compact"/>
              <w:jc w:val="left"/>
            </w:pPr>
            <w:r>
              <w:t xml:space="preserve">Площадь</w:t>
            </w:r>
          </w:p>
        </w:tc>
        <w:tc>
          <w:tcPr/>
          <w:p>
            <w:pPr>
              <w:pStyle w:val="Compact"/>
              <w:jc w:val="left"/>
            </w:pPr>
            <w:r>
              <w:t xml:space="preserve">320 м²</w:t>
            </w:r>
          </w:p>
        </w:tc>
      </w:tr>
      <w:tr>
        <w:tc>
          <w:tcPr/>
          <w:p>
            <w:pPr>
              <w:pStyle w:val="Compact"/>
              <w:jc w:val="left"/>
            </w:pPr>
            <w:r>
              <w:t xml:space="preserve">Длина</w:t>
            </w:r>
          </w:p>
        </w:tc>
        <w:tc>
          <w:tcPr/>
          <w:p>
            <w:pPr>
              <w:pStyle w:val="Compact"/>
              <w:jc w:val="left"/>
            </w:pPr>
            <w:r>
              <w:t xml:space="preserve">32 м</w:t>
            </w:r>
          </w:p>
        </w:tc>
      </w:tr>
      <w:tr>
        <w:tc>
          <w:tcPr/>
          <w:p>
            <w:pPr>
              <w:pStyle w:val="Compact"/>
              <w:jc w:val="left"/>
            </w:pPr>
            <w:r>
              <w:t xml:space="preserve">Ширина</w:t>
            </w:r>
          </w:p>
        </w:tc>
        <w:tc>
          <w:tcPr/>
          <w:p>
            <w:pPr>
              <w:pStyle w:val="Compact"/>
              <w:jc w:val="left"/>
            </w:pPr>
            <w:r>
              <w:t xml:space="preserve">10 м</w:t>
            </w:r>
          </w:p>
        </w:tc>
      </w:tr>
      <w:tr>
        <w:tc>
          <w:tcPr/>
          <w:p>
            <w:pPr>
              <w:pStyle w:val="Compact"/>
              <w:jc w:val="left"/>
            </w:pPr>
            <w:r>
              <w:t xml:space="preserve">Высота</w:t>
            </w:r>
          </w:p>
        </w:tc>
        <w:tc>
          <w:tcPr/>
          <w:p>
            <w:pPr>
              <w:pStyle w:val="Compact"/>
              <w:jc w:val="left"/>
            </w:pPr>
            <w:r>
              <w:t xml:space="preserve">8 м</w:t>
            </w:r>
          </w:p>
        </w:tc>
      </w:tr>
      <w:tr>
        <w:tc>
          <w:tcPr/>
          <w:p>
            <w:pPr>
              <w:pStyle w:val="Compact"/>
              <w:jc w:val="left"/>
            </w:pPr>
            <w:r>
              <w:t xml:space="preserve">Уровень нижнего пояса ферм перекрытия (покрытия)</w:t>
            </w:r>
          </w:p>
        </w:tc>
        <w:tc>
          <w:tcPr/>
          <w:p>
            <w:pPr>
              <w:pStyle w:val="Compact"/>
              <w:jc w:val="left"/>
            </w:pPr>
            <w:r>
              <w:t xml:space="preserve">6 м</w:t>
            </w:r>
          </w:p>
        </w:tc>
      </w:tr>
      <w:tr>
        <w:tc>
          <w:tcPr/>
          <w:p>
            <w:pPr>
              <w:pStyle w:val="Compact"/>
              <w:jc w:val="left"/>
            </w:pPr>
            <w:r>
              <w:t xml:space="preserve">Расчётная температура воздуха</w:t>
            </w:r>
          </w:p>
        </w:tc>
        <w:tc>
          <w:tcPr/>
          <w:p>
            <w:pPr>
              <w:pStyle w:val="Compact"/>
              <w:jc w:val="left"/>
            </w:pPr>
            <w:r>
              <w:t xml:space="preserve">37 °C</w:t>
            </w:r>
          </w:p>
        </w:tc>
      </w:tr>
      <w:tr>
        <w:tc>
          <w:tcPr/>
          <w:p>
            <w:pPr>
              <w:pStyle w:val="Compact"/>
              <w:jc w:val="left"/>
            </w:pPr>
            <w:r>
              <w:t xml:space="preserve">Имеется автоматическое пожаротушение</w:t>
            </w:r>
          </w:p>
        </w:tc>
        <w:tc>
          <w:tcPr/>
          <w:p>
            <w:pPr>
              <w:pStyle w:val="Compact"/>
              <w:jc w:val="left"/>
            </w:pPr>
            <w:r>
              <w:t xml:space="preserve">нет</w:t>
            </w:r>
          </w:p>
        </w:tc>
      </w:tr>
      <w:tr>
        <w:tc>
          <w:tcPr/>
          <w:p>
            <w:pPr>
              <w:pStyle w:val="Compact"/>
              <w:jc w:val="left"/>
            </w:pPr>
            <w:r>
              <w:t xml:space="preserve">Имеется аварийная вентиляция</w:t>
            </w:r>
          </w:p>
        </w:tc>
        <w:tc>
          <w:tcPr/>
          <w:p>
            <w:pPr>
              <w:pStyle w:val="Compact"/>
              <w:jc w:val="left"/>
            </w:pPr>
            <w:r>
              <w:t xml:space="preserve">да</w:t>
            </w:r>
          </w:p>
        </w:tc>
      </w:tr>
      <w:tr>
        <w:tc>
          <w:tcPr/>
          <w:p>
            <w:pPr>
              <w:pStyle w:val="Compact"/>
              <w:jc w:val="left"/>
            </w:pPr>
            <w:r>
              <w:t xml:space="preserve">Кратность воздухообмена</w:t>
            </w:r>
          </w:p>
        </w:tc>
        <w:tc>
          <w:tcPr/>
          <w:p>
            <w:pPr>
              <w:pStyle w:val="Compact"/>
              <w:jc w:val="left"/>
            </w:pPr>
            <w:r>
              <w:t xml:space="preserve">6 ч¯¹</w:t>
            </w:r>
          </w:p>
        </w:tc>
      </w:tr>
      <w:tr>
        <w:tc>
          <w:tcPr/>
          <w:p>
            <w:pPr>
              <w:pStyle w:val="Compact"/>
              <w:jc w:val="left"/>
            </w:pPr>
            <w:r>
              <w:t xml:space="preserve">Категория</w:t>
            </w:r>
          </w:p>
        </w:tc>
        <w:tc>
          <w:tcPr/>
          <w:p>
            <w:pPr>
              <w:pStyle w:val="Compact"/>
              <w:jc w:val="left"/>
            </w:pPr>
            <w:r>
              <w:t xml:space="preserve">В2</w:t>
            </w:r>
          </w:p>
        </w:tc>
      </w:tr>
      <w:tr>
        <w:tc>
          <w:tcPr/>
          <w:p>
            <w:pPr>
              <w:pStyle w:val="Compact"/>
              <w:jc w:val="left"/>
            </w:pPr>
            <w:r>
              <w:t xml:space="preserve">Класс зоны по ПУЭ</w:t>
            </w:r>
          </w:p>
        </w:tc>
        <w:tc>
          <w:tcPr/>
          <w:p>
            <w:pPr>
              <w:pStyle w:val="Compact"/>
              <w:jc w:val="left"/>
            </w:pPr>
            <w:r>
              <w:t xml:space="preserve">П-I</w:t>
            </w:r>
          </w:p>
        </w:tc>
      </w:tr>
      <w:tr>
        <w:tc>
          <w:tcPr/>
          <w:p>
            <w:pPr>
              <w:pStyle w:val="Compact"/>
              <w:jc w:val="left"/>
            </w:pPr>
            <w:r>
              <w:t xml:space="preserve">Класс зоны по ФЗ №123</w:t>
            </w:r>
          </w:p>
        </w:tc>
        <w:tc>
          <w:tcPr/>
          <w:p>
            <w:pPr>
              <w:pStyle w:val="Compact"/>
              <w:jc w:val="left"/>
            </w:pPr>
            <w:r>
              <w:t xml:space="preserve">П-I</w:t>
            </w:r>
          </w:p>
        </w:tc>
      </w:tr>
    </w:tbl>
    <w:bookmarkStart w:id="66" w:name="участок-участок_03"/>
    <w:p>
      <w:pPr>
        <w:pStyle w:val="3"/>
      </w:pPr>
      <w:r>
        <w:t xml:space="preserve">Участок «Участок_03»</w:t>
      </w:r>
    </w:p>
    <w:tbl>
      <w:tblPr>
        <w:tblStyle w:val="Table"/>
        <w:tblW w:type="pct" w:w="5000"/>
        <w:tblLook w:firstRow="1" w:lastRow="0" w:firstColumn="0" w:lastColumn="0" w:noHBand="0" w:noVBand="0" w:val="0020"/>
      </w:tblPr>
      <w:tblGrid>
        <w:gridCol w:w="5544"/>
        <w:gridCol w:w="2376"/>
      </w:tblGrid>
      <w:tr>
        <w:trPr>
          <w:tblHeader w:val="true"/>
        </w:trPr>
        <w:tc>
          <w:tcPr/>
          <w:p>
            <w:pPr>
              <w:pStyle w:val="Compact"/>
              <w:jc w:val="left"/>
            </w:pPr>
            <w:r>
              <w:t xml:space="preserve">Площадь</w:t>
            </w:r>
          </w:p>
        </w:tc>
        <w:tc>
          <w:tcPr/>
          <w:p>
            <w:pPr>
              <w:pStyle w:val="Compact"/>
              <w:jc w:val="left"/>
            </w:pPr>
            <w:r>
              <w:t xml:space="preserve">3,1 м²</w:t>
            </w:r>
          </w:p>
        </w:tc>
      </w:tr>
      <w:tr>
        <w:tc>
          <w:tcPr/>
          <w:p>
            <w:pPr>
              <w:pStyle w:val="Compact"/>
              <w:jc w:val="left"/>
            </w:pPr>
            <w:r>
              <w:t xml:space="preserve">Высота</w:t>
            </w:r>
          </w:p>
        </w:tc>
        <w:tc>
          <w:tcPr/>
          <w:p>
            <w:pPr>
              <w:pStyle w:val="Compact"/>
              <w:jc w:val="left"/>
            </w:pPr>
            <w:r>
              <w:t xml:space="preserve">2 м</w:t>
            </w:r>
          </w:p>
        </w:tc>
      </w:tr>
    </w:tbl>
    <w:bookmarkStart w:id="63" w:name="ксилол-в-баке"/>
    <w:p>
      <w:pPr>
        <w:pStyle w:val="4"/>
      </w:pPr>
      <w:r>
        <w:t xml:space="preserve">«Ксилол в баке»</w:t>
      </w:r>
    </w:p>
    <w:p>
      <w:pPr>
        <w:pStyle w:val="FirstParagraph"/>
      </w:pPr>
      <w:r>
        <w:t xml:space="preserve">Свойства горючей нагрузки:</w:t>
      </w:r>
    </w:p>
    <w:tbl>
      <w:tblPr>
        <w:tblStyle w:val="Table"/>
        <w:tblW w:type="pct" w:w="5000"/>
        <w:tblLook w:firstRow="1" w:lastRow="0" w:firstColumn="0" w:lastColumn="0" w:noHBand="0" w:noVBand="0" w:val="0020"/>
      </w:tblPr>
      <w:tblGrid>
        <w:gridCol w:w="5544"/>
        <w:gridCol w:w="2376"/>
      </w:tblGrid>
      <w:tr>
        <w:trPr>
          <w:tblHeader w:val="true"/>
        </w:trPr>
        <w:tc>
          <w:tcPr/>
          <w:p>
            <w:pPr>
              <w:pStyle w:val="Compact"/>
              <w:jc w:val="left"/>
            </w:pPr>
            <w:r>
              <w:t xml:space="preserve">Описание</w:t>
            </w:r>
          </w:p>
        </w:tc>
        <w:tc>
          <w:tcPr/>
          <w:p>
            <w:pPr>
              <w:pStyle w:val="Compact"/>
              <w:jc w:val="left"/>
            </w:pPr>
            <w:r>
              <w:t xml:space="preserve">При определении избыточного давления взрыва в качестве расчетного варианта аварии принимается разгерметизация одного бака с лаком для покрытия полюсных катушек способом окунания и утечка лака из напорного и отводящего трубопроводов при работающем насосе с последующим разливом лака на пол помещения. Происходит испарение ксилола и уайт-спирита с поверхности разлившегося лака, а также с открытой поверхности второго бака и с поверхности выгружаемых покрытых лаком полюсных катушек</w:t>
            </w:r>
          </w:p>
        </w:tc>
      </w:tr>
      <w:tr>
        <w:tc>
          <w:tcPr/>
          <w:p>
            <w:pPr>
              <w:pStyle w:val="Compact"/>
              <w:jc w:val="left"/>
            </w:pPr>
            <w:r>
              <w:t xml:space="preserve">Горючая нагрузка</w:t>
            </w:r>
          </w:p>
        </w:tc>
        <w:tc>
          <w:tcPr/>
          <w:p>
            <w:pPr>
              <w:pStyle w:val="Compact"/>
              <w:jc w:val="left"/>
            </w:pPr>
            <w:r>
              <w:t xml:space="preserve">Ксилол (смесь изомеров) (ГОСТ 9410-60)</w:t>
            </w:r>
          </w:p>
        </w:tc>
      </w:tr>
      <w:tr>
        <w:tc>
          <w:tcPr/>
          <w:p>
            <w:pPr>
              <w:pStyle w:val="Compact"/>
              <w:jc w:val="left"/>
            </w:pPr>
            <w:r>
              <w:t xml:space="preserve">Возможность образования взрывоопасной смеси</w:t>
            </w:r>
          </w:p>
        </w:tc>
        <w:tc>
          <w:tcPr/>
          <w:p>
            <w:pPr>
              <w:pStyle w:val="Compact"/>
              <w:jc w:val="left"/>
            </w:pPr>
            <w:r>
              <w:t xml:space="preserve">только в результате аварий или неисправностей</w:t>
            </w:r>
          </w:p>
        </w:tc>
      </w:tr>
      <w:tr>
        <w:tc>
          <w:tcPr/>
          <w:p>
            <w:pPr>
              <w:pStyle w:val="Compact"/>
              <w:jc w:val="left"/>
            </w:pPr>
            <w:r>
              <w:t xml:space="preserve">Наличие особенностей, приведённых в п.7.3.42 ПУЭ</w:t>
            </w:r>
          </w:p>
        </w:tc>
        <w:tc>
          <w:tcPr/>
          <w:p>
            <w:pPr>
              <w:pStyle w:val="Compact"/>
              <w:jc w:val="left"/>
            </w:pPr>
            <w:r>
              <w:t xml:space="preserve">нет</w:t>
            </w:r>
          </w:p>
        </w:tc>
      </w:tr>
      <w:tr>
        <w:tc>
          <w:tcPr/>
          <w:p>
            <w:pPr>
              <w:pStyle w:val="Compact"/>
              <w:jc w:val="left"/>
            </w:pPr>
            <w:r>
              <w:t xml:space="preserve">Объём аварийного аппарата</w:t>
            </w:r>
          </w:p>
        </w:tc>
        <w:tc>
          <w:tcPr/>
          <w:p>
            <w:pPr>
              <w:pStyle w:val="Compact"/>
              <w:jc w:val="left"/>
            </w:pPr>
            <w:r>
              <w:t xml:space="preserve">0,21 м³</w:t>
            </w:r>
          </w:p>
        </w:tc>
      </w:tr>
      <w:tr>
        <w:tc>
          <w:tcPr/>
          <w:p>
            <w:pPr>
              <w:pStyle w:val="Compact"/>
              <w:jc w:val="left"/>
            </w:pPr>
            <w:r>
              <w:t xml:space="preserve">Общий объём горючего вещества во всех аппаратах (рассматривается при определении категории В1-В4)</w:t>
            </w:r>
          </w:p>
        </w:tc>
        <w:tc>
          <w:tcPr/>
          <w:p>
            <w:pPr>
              <w:pStyle w:val="Compact"/>
              <w:jc w:val="left"/>
            </w:pPr>
            <w:r>
              <w:t xml:space="preserve">0,42 м³</w:t>
            </w:r>
          </w:p>
        </w:tc>
      </w:tr>
      <w:tr>
        <w:tc>
          <w:tcPr/>
          <w:p>
            <w:pPr>
              <w:pStyle w:val="Compact"/>
              <w:jc w:val="left"/>
            </w:pPr>
            <w:r>
              <w:t xml:space="preserve">Температура жидкости</w:t>
            </w:r>
          </w:p>
        </w:tc>
        <w:tc>
          <w:tcPr/>
          <w:p>
            <w:pPr>
              <w:pStyle w:val="Compact"/>
              <w:jc w:val="left"/>
            </w:pPr>
            <w:r>
              <w:t xml:space="preserve">37 °C</w:t>
            </w:r>
          </w:p>
        </w:tc>
      </w:tr>
      <w:tr>
        <w:tc>
          <w:tcPr/>
          <w:p>
            <w:pPr>
              <w:pStyle w:val="Compact"/>
              <w:jc w:val="left"/>
            </w:pPr>
            <w:r>
              <w:t xml:space="preserve">Расчётное время отключения трубопроводов</w:t>
            </w:r>
          </w:p>
        </w:tc>
        <w:tc>
          <w:tcPr/>
          <w:p>
            <w:pPr>
              <w:pStyle w:val="Compact"/>
              <w:jc w:val="left"/>
            </w:pPr>
            <w:r>
              <w:t xml:space="preserve">300 с</w:t>
            </w:r>
          </w:p>
        </w:tc>
      </w:tr>
      <w:tr>
        <w:tc>
          <w:tcPr/>
          <w:p>
            <w:pPr>
              <w:pStyle w:val="Compact"/>
              <w:jc w:val="left"/>
            </w:pPr>
            <w:r>
              <w:t xml:space="preserve">Определение коэффициента Z</w:t>
            </w:r>
          </w:p>
        </w:tc>
        <w:tc>
          <w:tcPr/>
          <w:p>
            <w:pPr>
              <w:pStyle w:val="Compact"/>
              <w:jc w:val="left"/>
            </w:pPr>
            <w:r>
              <w:t xml:space="preserve">по приложению Д</w:t>
            </w:r>
          </w:p>
        </w:tc>
      </w:tr>
    </w:tbl>
    <w:p>
      <w:pPr>
        <w:pStyle w:val="a0"/>
      </w:pPr>
      <w:r>
        <w:t xml:space="preserve">Подводящие трубопроводы</w:t>
      </w:r>
    </w:p>
    <w:tbl>
      <w:tblPr>
        <w:tblStyle w:val="Table"/>
        <w:tblW w:type="pct" w:w="5000"/>
        <w:tblLook w:firstRow="1" w:lastRow="0" w:firstColumn="0" w:lastColumn="0" w:noHBand="0" w:noVBand="0" w:val="0020"/>
      </w:tblPr>
      <w:tblGrid>
        <w:gridCol w:w="1980"/>
        <w:gridCol w:w="1980"/>
        <w:gridCol w:w="1980"/>
        <w:gridCol w:w="1980"/>
      </w:tblGrid>
      <w:tr>
        <w:trPr>
          <w:tblHeader w:val="true"/>
        </w:trPr>
        <w:tc>
          <w:tcPr/>
          <w:p>
            <w:pPr>
              <w:pStyle w:val="Compact"/>
              <w:jc w:val="left"/>
            </w:pPr>
            <w:r>
              <w:t xml:space="preserve">№</w:t>
            </w:r>
          </w:p>
        </w:tc>
        <w:tc>
          <w:tcPr/>
          <w:p>
            <w:pPr>
              <w:pStyle w:val="Compact"/>
              <w:jc w:val="left"/>
            </w:pPr>
            <w:r>
              <w:t xml:space="preserve">Внутренний диаметр, м</w:t>
            </w:r>
          </w:p>
        </w:tc>
        <w:tc>
          <w:tcPr/>
          <w:p>
            <w:pPr>
              <w:pStyle w:val="Compact"/>
              <w:jc w:val="left"/>
            </w:pPr>
            <w:r>
              <w:t xml:space="preserve">Длина, м</w:t>
            </w:r>
          </w:p>
        </w:tc>
        <w:tc>
          <w:tcPr/>
          <w:p>
            <w:pPr>
              <w:pStyle w:val="Compact"/>
              <w:jc w:val="left"/>
            </w:pPr>
            <w:r>
              <w:t xml:space="preserve">Расход жидкости, м³/с</w:t>
            </w:r>
          </w:p>
        </w:tc>
      </w:tr>
      <w:tr>
        <w:tc>
          <w:tcPr/>
          <w:p>
            <w:pPr>
              <w:pStyle w:val="Compact"/>
              <w:jc w:val="left"/>
            </w:pPr>
            <w:r>
              <w:t xml:space="preserve">1</w:t>
            </w:r>
          </w:p>
        </w:tc>
        <w:tc>
          <w:tcPr/>
          <w:p>
            <w:pPr>
              <w:pStyle w:val="Compact"/>
              <w:jc w:val="left"/>
            </w:pPr>
            <w:r>
              <w:t xml:space="preserve">0,025</w:t>
            </w:r>
          </w:p>
        </w:tc>
        <w:tc>
          <w:tcPr/>
          <w:p>
            <w:pPr>
              <w:pStyle w:val="Compact"/>
              <w:jc w:val="left"/>
            </w:pPr>
            <w:r>
              <w:t xml:space="preserve">10</w:t>
            </w:r>
          </w:p>
        </w:tc>
        <w:tc>
          <w:tcPr/>
          <w:p>
            <w:pPr>
              <w:pStyle w:val="Compact"/>
              <w:jc w:val="left"/>
            </w:pPr>
            <w:r>
              <w:t xml:space="preserve">0,0003</w:t>
            </w:r>
          </w:p>
        </w:tc>
      </w:tr>
    </w:tbl>
    <w:p>
      <w:pPr>
        <w:pStyle w:val="a0"/>
      </w:pPr>
      <w:r>
        <w:t xml:space="preserve">Отводящие трубопроводы</w:t>
      </w:r>
    </w:p>
    <w:tbl>
      <w:tblPr>
        <w:tblStyle w:val="Table"/>
        <w:tblW w:type="pct" w:w="5000"/>
        <w:tblLook w:firstRow="1" w:lastRow="0" w:firstColumn="0" w:lastColumn="0" w:noHBand="0" w:noVBand="0" w:val="0020"/>
      </w:tblPr>
      <w:tblGrid>
        <w:gridCol w:w="2639"/>
        <w:gridCol w:w="2639"/>
        <w:gridCol w:w="2639"/>
      </w:tblGrid>
      <w:tr>
        <w:trPr>
          <w:tblHeader w:val="true"/>
        </w:trPr>
        <w:tc>
          <w:tcPr/>
          <w:p>
            <w:pPr>
              <w:pStyle w:val="Compact"/>
              <w:jc w:val="left"/>
            </w:pPr>
            <w:r>
              <w:t xml:space="preserve">№</w:t>
            </w:r>
          </w:p>
        </w:tc>
        <w:tc>
          <w:tcPr/>
          <w:p>
            <w:pPr>
              <w:pStyle w:val="Compact"/>
              <w:jc w:val="left"/>
            </w:pPr>
            <w:r>
              <w:t xml:space="preserve">Внутренний диаметр, м</w:t>
            </w:r>
          </w:p>
        </w:tc>
        <w:tc>
          <w:tcPr/>
          <w:p>
            <w:pPr>
              <w:pStyle w:val="Compact"/>
              <w:jc w:val="left"/>
            </w:pPr>
            <w:r>
              <w:t xml:space="preserve">Длина, м</w:t>
            </w:r>
          </w:p>
        </w:tc>
      </w:tr>
      <w:tr>
        <w:tc>
          <w:tcPr/>
          <w:p>
            <w:pPr>
              <w:pStyle w:val="Compact"/>
              <w:jc w:val="left"/>
            </w:pPr>
            <w:r>
              <w:t xml:space="preserve">1</w:t>
            </w:r>
          </w:p>
        </w:tc>
        <w:tc>
          <w:tcPr/>
          <w:p>
            <w:pPr>
              <w:pStyle w:val="Compact"/>
              <w:jc w:val="left"/>
            </w:pPr>
            <w:r>
              <w:t xml:space="preserve">0,04</w:t>
            </w:r>
          </w:p>
        </w:tc>
        <w:tc>
          <w:tcPr/>
          <w:p>
            <w:pPr>
              <w:pStyle w:val="Compact"/>
              <w:jc w:val="left"/>
            </w:pPr>
            <w:r>
              <w:t xml:space="preserve">10</w:t>
            </w:r>
          </w:p>
        </w:tc>
      </w:tr>
    </w:tbl>
    <w:p>
      <w:pPr>
        <w:pStyle w:val="a0"/>
      </w:pPr>
      <w:r>
        <w:t xml:space="preserve">Поверхности испарения</w:t>
      </w:r>
    </w:p>
    <w:tbl>
      <w:tblPr>
        <w:tblStyle w:val="Table"/>
        <w:tblW w:type="pct" w:w="5000"/>
        <w:tblLook w:firstRow="1" w:lastRow="0" w:firstColumn="0" w:lastColumn="0" w:noHBand="0" w:noVBand="0" w:val="0020"/>
      </w:tblPr>
      <w:tblGrid>
        <w:gridCol w:w="2639"/>
        <w:gridCol w:w="2639"/>
        <w:gridCol w:w="2639"/>
      </w:tblGrid>
      <w:tr>
        <w:trPr>
          <w:tblHeader w:val="true"/>
        </w:trPr>
        <w:tc>
          <w:tcPr/>
          <w:p>
            <w:pPr>
              <w:pStyle w:val="Compact"/>
              <w:jc w:val="left"/>
            </w:pPr>
            <w:r>
              <w:t xml:space="preserve">№</w:t>
            </w:r>
          </w:p>
        </w:tc>
        <w:tc>
          <w:tcPr/>
          <w:p>
            <w:pPr>
              <w:pStyle w:val="Compact"/>
              <w:jc w:val="left"/>
            </w:pPr>
            <w:r>
              <w:t xml:space="preserve">Площадь испарения, м²</w:t>
            </w:r>
          </w:p>
        </w:tc>
        <w:tc>
          <w:tcPr/>
          <w:p>
            <w:pPr>
              <w:pStyle w:val="Compact"/>
              <w:jc w:val="left"/>
            </w:pPr>
            <w:r>
              <w:t xml:space="preserve">Масса жидкости, содержащейся на поверхности испарения (в ёмкости), кг</w:t>
            </w:r>
          </w:p>
        </w:tc>
      </w:tr>
      <w:tr>
        <w:tc>
          <w:tcPr/>
          <w:p>
            <w:pPr>
              <w:pStyle w:val="Compact"/>
              <w:jc w:val="left"/>
            </w:pPr>
            <w:r>
              <w:t xml:space="preserve">1</w:t>
            </w:r>
          </w:p>
        </w:tc>
        <w:tc>
          <w:tcPr/>
          <w:p>
            <w:pPr>
              <w:pStyle w:val="Compact"/>
              <w:jc w:val="left"/>
            </w:pPr>
            <w:r>
              <w:t xml:space="preserve">1,5</w:t>
            </w:r>
          </w:p>
        </w:tc>
        <w:tc>
          <w:tcPr/>
          <w:p>
            <w:pPr>
              <w:pStyle w:val="Compact"/>
              <w:jc w:val="left"/>
            </w:pPr>
            <w:r>
              <w:t xml:space="preserve">176</w:t>
            </w:r>
          </w:p>
        </w:tc>
      </w:tr>
      <w:tr>
        <w:tc>
          <w:tcPr/>
          <w:p>
            <w:pPr>
              <w:pStyle w:val="Compact"/>
              <w:jc w:val="left"/>
            </w:pPr>
            <w:r>
              <w:t xml:space="preserve">2</w:t>
            </w:r>
          </w:p>
        </w:tc>
        <w:tc>
          <w:tcPr/>
          <w:p>
            <w:pPr>
              <w:pStyle w:val="Compact"/>
              <w:jc w:val="left"/>
            </w:pPr>
            <w:r>
              <w:t xml:space="preserve">6,3</w:t>
            </w:r>
          </w:p>
        </w:tc>
        <w:tc>
          <w:tcPr/>
          <w:p>
            <w:pPr>
              <w:pStyle w:val="Compact"/>
              <w:jc w:val="left"/>
            </w:pPr>
            <w:r>
              <w:t xml:space="preserve">1</w:t>
            </w:r>
          </w:p>
        </w:tc>
      </w:tr>
    </w:tbl>
    <w:p>
      <w:pPr>
        <w:pStyle w:val="a0"/>
      </w:pPr>
      <w:r>
        <w:rPr>
          <w:bCs/>
          <w:b/>
        </w:rPr>
        <w:t xml:space="preserve">Определение объёма жидкости, вышедшей из аппарата при аварии</w:t>
      </w:r>
    </w:p>
    <w:p>
      <w:pPr>
        <w:pStyle w:val="a0"/>
      </w:pPr>
      <w:r>
        <w:t xml:space="preserve">Происходит авария аппарата «Ксилол в баке». Все содержимое аппарата поступает в окружающее пространство, происходит одновременно утечка жидкости из трубопроводов, питающих аппарат по прямому и обратному потокам.</w:t>
      </w:r>
    </w:p>
    <w:p>
      <w:pPr>
        <w:pStyle w:val="a0"/>
      </w:pPr>
      <w:r>
        <w:t xml:space="preserve">Объём жидкости, вышедшей из аппарата, равен объёму аппарата и составляет</w:t>
      </w:r>
      <w:r>
        <w:t xml:space="preserve"> </w:t>
      </w:r>
      <m:oMath>
        <m:r>
          <m:t>0</m:t>
        </m:r>
        <m:r>
          <m:rPr>
            <m:sty m:val="p"/>
          </m:rPr>
          <m:t>,</m:t>
        </m:r>
        <m:r>
          <m:t>21</m:t>
        </m:r>
        <m:r>
          <m:t> </m:t>
        </m:r>
        <m:r>
          <m:rPr>
            <m:nor/>
            <m:sty m:val="p"/>
          </m:rPr>
          <m:t>м³</m:t>
        </m:r>
      </m:oMath>
      <w:r>
        <w:t xml:space="preserve">.</w:t>
      </w:r>
    </w:p>
    <w:p>
      <w:pPr>
        <w:pStyle w:val="a0"/>
      </w:pPr>
      <w:r>
        <w:t xml:space="preserve">Объём жидкости, вышедшей до отключения трубопроводов, определяется по формуле</w:t>
      </w:r>
      <w:r>
        <w:t xml:space="preserve"> </w:t>
      </w:r>
      <m:oMath>
        <m:sSub>
          <m:e>
            <m:r>
              <m:t>V</m:t>
            </m:r>
          </m:e>
          <m:sub>
            <m:r>
              <m:t>1</m:t>
            </m:r>
            <m:r>
              <m:t>т</m:t>
            </m:r>
          </m:sub>
        </m:sSub>
        <m:r>
          <m:rPr>
            <m:sty m:val="p"/>
          </m:rPr>
          <m:t>=</m:t>
        </m:r>
        <m:r>
          <m:rPr>
            <m:sty m:val="p"/>
          </m:rPr>
          <m:t>∑</m:t>
        </m:r>
        <m:r>
          <m:t>q</m:t>
        </m:r>
        <m:r>
          <m:t>T</m:t>
        </m:r>
      </m:oMath>
      <w:r>
        <w:t xml:space="preserve"> </w:t>
      </w:r>
      <w:r>
        <w:t xml:space="preserve">и составляет</w:t>
      </w:r>
      <w:r>
        <w:t xml:space="preserve"> </w:t>
      </w:r>
      <m:oMath>
        <m:r>
          <m:t>0</m:t>
        </m:r>
        <m:r>
          <m:rPr>
            <m:sty m:val="p"/>
          </m:rPr>
          <m:t>,</m:t>
        </m:r>
        <m:r>
          <m:t>09</m:t>
        </m:r>
        <m:r>
          <m:t> </m:t>
        </m:r>
        <m:r>
          <m:rPr>
            <m:nor/>
            <m:sty m:val="p"/>
          </m:rPr>
          <m:t>м³</m:t>
        </m:r>
      </m:oMath>
      <w:r>
        <w:t xml:space="preserve">.</w:t>
      </w:r>
    </w:p>
    <w:p>
      <w:pPr>
        <w:pStyle w:val="a0"/>
      </w:pPr>
      <w:r>
        <w:t xml:space="preserve">Объём жидкости, вышедшей после отключения трубопроводов, определяется по формуле</w:t>
      </w:r>
      <w:r>
        <w:t xml:space="preserve"> </w:t>
      </w:r>
      <m:oMath>
        <m:sSub>
          <m:e>
            <m:r>
              <m:t>V</m:t>
            </m:r>
          </m:e>
          <m:sub>
            <m:r>
              <m:t>2</m:t>
            </m:r>
            <m:r>
              <m:t>т</m:t>
            </m:r>
          </m:sub>
        </m:sSub>
        <m:r>
          <m:rPr>
            <m:sty m:val="p"/>
          </m:rPr>
          <m:t>=</m:t>
        </m:r>
        <m:r>
          <m:t>π</m:t>
        </m:r>
        <m:r>
          <m:rPr>
            <m:sty m:val="p"/>
          </m:rPr>
          <m:t>∑</m:t>
        </m:r>
        <m:d>
          <m:dPr>
            <m:begChr m:val="("/>
            <m:endChr m:val=")"/>
            <m:sepChr m:val=""/>
            <m:grow/>
          </m:dPr>
          <m:e>
            <m:sSup>
              <m:e>
                <m:r>
                  <m:t>r</m:t>
                </m:r>
              </m:e>
              <m:sup>
                <m:r>
                  <m:t>2</m:t>
                </m:r>
              </m:sup>
            </m:sSup>
            <m:r>
              <m:rPr>
                <m:sty m:val="p"/>
              </m:rPr>
              <m:t>⋅</m:t>
            </m:r>
            <m:r>
              <m:t>L</m:t>
            </m:r>
          </m:e>
        </m:d>
      </m:oMath>
      <w:r>
        <w:t xml:space="preserve"> </w:t>
      </w:r>
      <w:r>
        <w:t xml:space="preserve">и составляет</w:t>
      </w:r>
      <w:r>
        <w:t xml:space="preserve"> </w:t>
      </w:r>
      <m:oMath>
        <m:r>
          <m:t>0</m:t>
        </m:r>
        <m:r>
          <m:rPr>
            <m:sty m:val="p"/>
          </m:rPr>
          <m:t>,</m:t>
        </m:r>
        <m:r>
          <m:t>0175</m:t>
        </m:r>
        <m:r>
          <m:t> </m:t>
        </m:r>
        <m:r>
          <m:rPr>
            <m:nor/>
            <m:sty m:val="p"/>
          </m:rPr>
          <m:t>м³</m:t>
        </m:r>
      </m:oMath>
      <w:r>
        <w:t xml:space="preserve">.</w:t>
      </w:r>
    </w:p>
    <w:p>
      <w:pPr>
        <w:pStyle w:val="a0"/>
      </w:pPr>
      <w:r>
        <w:t xml:space="preserve">Таким образом, объём жидкости, поступившей в окружающее пространство из аппарата и трубопроводов, составляет</w:t>
      </w:r>
      <w:r>
        <w:t xml:space="preserve"> </w:t>
      </w:r>
      <m:oMath>
        <m:r>
          <m:t>0</m:t>
        </m:r>
        <m:r>
          <m:rPr>
            <m:sty m:val="p"/>
          </m:rPr>
          <m:t>,</m:t>
        </m:r>
        <m:r>
          <m:t>317475</m:t>
        </m:r>
        <m:r>
          <m:t> </m:t>
        </m:r>
        <m:r>
          <m:rPr>
            <m:nor/>
            <m:sty m:val="p"/>
          </m:rPr>
          <m:t>м³</m:t>
        </m:r>
      </m:oMath>
      <w:r>
        <w:t xml:space="preserve">.</w:t>
      </w:r>
    </w:p>
    <w:p>
      <w:pPr>
        <w:pStyle w:val="a0"/>
      </w:pPr>
      <w:r>
        <w:t xml:space="preserve">При плотности жидкости, равной</w:t>
      </w:r>
      <w:r>
        <w:t xml:space="preserve"> </w:t>
      </w:r>
      <m:oMath>
        <m:r>
          <m:t>855</m:t>
        </m:r>
        <m:r>
          <m:t> </m:t>
        </m:r>
        <m:r>
          <m:rPr>
            <m:nor/>
            <m:sty m:val="p"/>
          </m:rPr>
          <m:t>кг/м³</m:t>
        </m:r>
      </m:oMath>
      <w:r>
        <w:t xml:space="preserve">, масса жидкости, вышедшей из аварийного аппарата и трубопроводов, составляет</w:t>
      </w:r>
      <w:r>
        <w:t xml:space="preserve"> </w:t>
      </w:r>
      <m:oMath>
        <m:r>
          <m:t>271</m:t>
        </m:r>
        <m:r>
          <m:rPr>
            <m:sty m:val="p"/>
          </m:rPr>
          <m:t>,</m:t>
        </m:r>
        <m:r>
          <m:t>441</m:t>
        </m:r>
        <m:r>
          <m:t> </m:t>
        </m:r>
        <m:r>
          <m:rPr>
            <m:nor/>
            <m:sty m:val="p"/>
          </m:rPr>
          <m:t>кг</m:t>
        </m:r>
      </m:oMath>
      <w:r>
        <w:t xml:space="preserve">.</w:t>
      </w:r>
    </w:p>
    <w:p>
      <w:pPr>
        <w:pStyle w:val="a0"/>
      </w:pPr>
      <w:r>
        <w:t xml:space="preserve">Полная масса горючей нагрузки, учитываемая при расчёте категории В1-В4:</w:t>
      </w:r>
      <w:r>
        <w:t xml:space="preserve"> </w:t>
      </w:r>
      <m:oMath>
        <m:d>
          <m:dPr>
            <m:begChr m:val="("/>
            <m:endChr m:val=")"/>
            <m:sepChr m:val=""/>
            <m:grow/>
          </m:dPr>
          <m:e>
            <m:r>
              <m:t>0</m:t>
            </m:r>
            <m:r>
              <m:rPr>
                <m:sty m:val="p"/>
              </m:rPr>
              <m:t>,</m:t>
            </m:r>
            <m:r>
              <m:t>42</m:t>
            </m:r>
            <m:r>
              <m:rPr>
                <m:sty m:val="p"/>
              </m:rPr>
              <m:t>+</m:t>
            </m:r>
            <m:r>
              <m:t>0</m:t>
            </m:r>
            <m:r>
              <m:rPr>
                <m:sty m:val="p"/>
              </m:rPr>
              <m:t>,</m:t>
            </m:r>
            <m:r>
              <m:t>09</m:t>
            </m:r>
            <m:r>
              <m:rPr>
                <m:sty m:val="p"/>
              </m:rPr>
              <m:t>+</m:t>
            </m:r>
            <m:r>
              <m:t>0</m:t>
            </m:r>
            <m:r>
              <m:rPr>
                <m:sty m:val="p"/>
              </m:rPr>
              <m:t>,</m:t>
            </m:r>
            <m:r>
              <m:t>0175</m:t>
            </m:r>
          </m:e>
        </m:d>
        <m:r>
          <m:rPr>
            <m:sty m:val="p"/>
          </m:rPr>
          <m:t>⋅</m:t>
        </m:r>
        <m:r>
          <m:t>855</m:t>
        </m:r>
        <m:r>
          <m:rPr>
            <m:sty m:val="p"/>
          </m:rPr>
          <m:t>=</m:t>
        </m:r>
        <m:r>
          <m:t>450</m:t>
        </m:r>
        <m:r>
          <m:rPr>
            <m:sty m:val="p"/>
          </m:rPr>
          <m:t>,</m:t>
        </m:r>
        <m:r>
          <m:t>991</m:t>
        </m:r>
        <m:r>
          <m:t> </m:t>
        </m:r>
        <m:r>
          <m:rPr>
            <m:nor/>
            <m:sty m:val="p"/>
          </m:rPr>
          <m:t>кг</m:t>
        </m:r>
      </m:oMath>
      <w:r>
        <w:t xml:space="preserve">.</w:t>
      </w:r>
    </w:p>
    <w:p>
      <w:pPr>
        <w:pStyle w:val="a0"/>
      </w:pPr>
      <w:r>
        <w:t xml:space="preserve">Площадь разлива жидкости при аварии составляет</w:t>
      </w:r>
      <w:r>
        <w:t xml:space="preserve"> </w:t>
      </w:r>
      <m:oMath>
        <m:r>
          <m:t>317</m:t>
        </m:r>
        <m:r>
          <m:rPr>
            <m:sty m:val="p"/>
          </m:rPr>
          <m:t>,</m:t>
        </m:r>
        <m:r>
          <m:t>48</m:t>
        </m:r>
        <m:r>
          <m:t> </m:t>
        </m:r>
        <m:r>
          <m:rPr>
            <m:nor/>
            <m:sty m:val="p"/>
          </m:rPr>
          <m:t>м²</m:t>
        </m:r>
      </m:oMath>
      <w:r>
        <w:t xml:space="preserve">.</w:t>
      </w:r>
    </w:p>
    <w:p>
      <w:pPr>
        <w:pStyle w:val="a0"/>
      </w:pPr>
      <w:r>
        <w:rPr>
          <w:bCs/>
          <w:b/>
        </w:rPr>
        <w:t xml:space="preserve">Определение давления насыщенного пара жидкости</w:t>
      </w:r>
    </w:p>
    <w:p>
      <w:pPr>
        <w:pStyle w:val="a0"/>
      </w:pPr>
      <w:r>
        <w:t xml:space="preserve">Давление насыщенного пара жидкости определено по формуле Антуана:</w:t>
      </w:r>
    </w:p>
    <w:p>
      <w:pPr>
        <w:pStyle w:val="a0"/>
      </w:pPr>
      <m:oMathPara>
        <m:oMathParaPr>
          <m:jc m:val="center"/>
        </m:oMathParaPr>
        <m:oMath>
          <m:sSub>
            <m:e>
              <m:r>
                <m:t>P</m:t>
              </m:r>
            </m:e>
            <m:sub>
              <m:r>
                <m:t>н</m:t>
              </m:r>
            </m:sub>
          </m:sSub>
          <m:r>
            <m:rPr>
              <m:sty m:val="p"/>
            </m:rPr>
            <m:t>=</m:t>
          </m:r>
          <m:sSup>
            <m:e>
              <m:r>
                <m:t>10</m:t>
              </m:r>
            </m:e>
            <m:sup>
              <m:r>
                <m:t>A</m:t>
              </m:r>
              <m:r>
                <m:rPr>
                  <m:sty m:val="p"/>
                </m:rPr>
                <m:t>−</m:t>
              </m:r>
              <m:r>
                <m:t>B</m:t>
              </m:r>
              <m:r>
                <m:rPr>
                  <m:sty m:val="p"/>
                </m:rPr>
                <m:t>/</m:t>
              </m:r>
              <m:d>
                <m:dPr>
                  <m:begChr m:val="("/>
                  <m:endChr m:val=")"/>
                  <m:sepChr m:val=""/>
                  <m:grow/>
                </m:dPr>
                <m:e>
                  <m:r>
                    <m:t>t</m:t>
                  </m:r>
                  <m:r>
                    <m:rPr>
                      <m:sty m:val="p"/>
                    </m:rPr>
                    <m:t>+</m:t>
                  </m:r>
                  <m:sSub>
                    <m:e>
                      <m:r>
                        <m:t>C</m:t>
                      </m:r>
                    </m:e>
                    <m:sub>
                      <m:r>
                        <m:t>a</m:t>
                      </m:r>
                    </m:sub>
                  </m:sSub>
                </m:e>
              </m:d>
            </m:sup>
          </m:sSup>
          <m:r>
            <m:rPr>
              <m:sty m:val="p"/>
            </m:rPr>
            <m:t>=</m:t>
          </m:r>
          <m:r>
            <m:t>2</m:t>
          </m:r>
          <m:r>
            <m:rPr>
              <m:sty m:val="p"/>
            </m:rPr>
            <m:t>,</m:t>
          </m:r>
          <m:r>
            <m:t>755</m:t>
          </m:r>
          <m:r>
            <m:t> </m:t>
          </m:r>
          <m:r>
            <m:rPr>
              <m:nor/>
              <m:sty m:val="p"/>
            </m:rPr>
            <m:t>кПа</m:t>
          </m:r>
          <m:r>
            <m:rPr>
              <m:sty m:val="p"/>
            </m:rPr>
            <m:t>,</m:t>
          </m:r>
        </m:oMath>
      </m:oMathPara>
    </w:p>
    <w:p>
      <w:pPr>
        <w:pStyle w:val="FirstParagraph"/>
      </w:pPr>
      <w:r>
        <w:t xml:space="preserve">где:</w:t>
      </w:r>
    </w:p>
    <w:tbl>
      <w:tblPr>
        <w:tblStyle w:val="Table"/>
        <w:tblW w:type="pct" w:w="5000"/>
        <w:tblLook w:firstRow="1" w:lastRow="0" w:firstColumn="0" w:lastColumn="0" w:noHBand="0" w:noVBand="0" w:val="0020"/>
      </w:tblPr>
      <w:tblGrid>
        <w:gridCol w:w="792"/>
        <w:gridCol w:w="5544"/>
        <w:gridCol w:w="1584"/>
      </w:tblGrid>
      <w:tr>
        <w:trPr>
          <w:tblHeader w:val="true"/>
        </w:trPr>
        <w:tc>
          <w:tcPr/>
          <w:p>
            <w:pPr>
              <w:pStyle w:val="Compact"/>
              <w:jc w:val="left"/>
            </w:pPr>
            <m:oMath>
              <m:r>
                <m:t>A</m:t>
              </m:r>
              <m:r>
                <m:rPr>
                  <m:sty m:val="p"/>
                </m:rPr>
                <m:t>−</m:t>
              </m:r>
            </m:oMath>
          </w:p>
        </w:tc>
        <w:tc>
          <w:tcPr/>
          <w:p>
            <w:pPr>
              <w:pStyle w:val="Compact"/>
              <w:jc w:val="left"/>
            </w:pPr>
            <w:r>
              <w:t xml:space="preserve">константа Антуана</w:t>
            </w:r>
          </w:p>
        </w:tc>
        <w:tc>
          <w:tcPr/>
          <w:p>
            <w:pPr>
              <w:pStyle w:val="Compact"/>
              <w:jc w:val="left"/>
            </w:pPr>
            <m:oMath>
              <m:r>
                <m:t>6</m:t>
              </m:r>
              <m:r>
                <m:rPr>
                  <m:sty m:val="p"/>
                </m:rPr>
                <m:t>,</m:t>
              </m:r>
              <m:r>
                <m:t>17972</m:t>
              </m:r>
            </m:oMath>
          </w:p>
        </w:tc>
      </w:tr>
      <w:tr>
        <w:tc>
          <w:tcPr/>
          <w:p>
            <w:pPr>
              <w:pStyle w:val="Compact"/>
              <w:jc w:val="left"/>
            </w:pPr>
            <m:oMath>
              <m:r>
                <m:t>B</m:t>
              </m:r>
              <m:r>
                <m:rPr>
                  <m:sty m:val="p"/>
                </m:rPr>
                <m:t>−</m:t>
              </m:r>
            </m:oMath>
          </w:p>
        </w:tc>
        <w:tc>
          <w:tcPr/>
          <w:p>
            <w:pPr>
              <w:pStyle w:val="Compact"/>
              <w:jc w:val="left"/>
            </w:pPr>
            <w:r>
              <w:t xml:space="preserve">константа Антуана</w:t>
            </w:r>
          </w:p>
        </w:tc>
        <w:tc>
          <w:tcPr/>
          <w:p>
            <w:pPr>
              <w:pStyle w:val="Compact"/>
              <w:jc w:val="left"/>
            </w:pPr>
            <m:oMath>
              <m:r>
                <m:t>1478</m:t>
              </m:r>
              <m:r>
                <m:rPr>
                  <m:sty m:val="p"/>
                </m:rPr>
                <m:t>,</m:t>
              </m:r>
              <m:r>
                <m:t>16</m:t>
              </m:r>
            </m:oMath>
          </w:p>
        </w:tc>
      </w:tr>
      <w:tr>
        <w:tc>
          <w:tcPr/>
          <w:p>
            <w:pPr>
              <w:pStyle w:val="Compact"/>
              <w:jc w:val="left"/>
            </w:pPr>
            <m:oMath>
              <m:sSub>
                <m:e>
                  <m:r>
                    <m:t>C</m:t>
                  </m:r>
                </m:e>
                <m:sub>
                  <m:r>
                    <m:t>a</m:t>
                  </m:r>
                </m:sub>
              </m:sSub>
              <m:r>
                <m:rPr>
                  <m:sty m:val="p"/>
                </m:rPr>
                <m:t>−</m:t>
              </m:r>
            </m:oMath>
          </w:p>
        </w:tc>
        <w:tc>
          <w:tcPr/>
          <w:p>
            <w:pPr>
              <w:pStyle w:val="Compact"/>
              <w:jc w:val="left"/>
            </w:pPr>
            <w:r>
              <w:t xml:space="preserve">константа Антуана</w:t>
            </w:r>
          </w:p>
        </w:tc>
        <w:tc>
          <w:tcPr/>
          <w:p>
            <w:pPr>
              <w:pStyle w:val="Compact"/>
              <w:jc w:val="left"/>
            </w:pPr>
            <m:oMath>
              <m:r>
                <m:t>220</m:t>
              </m:r>
              <m:r>
                <m:rPr>
                  <m:sty m:val="p"/>
                </m:rPr>
                <m:t>,</m:t>
              </m:r>
              <m:r>
                <m:t>535</m:t>
              </m:r>
            </m:oMath>
          </w:p>
        </w:tc>
      </w:tr>
      <w:tr>
        <w:tc>
          <w:tcPr/>
          <w:p>
            <w:pPr>
              <w:pStyle w:val="Compact"/>
              <w:jc w:val="left"/>
            </w:pPr>
            <m:oMath>
              <m:r>
                <m:t>t</m:t>
              </m:r>
              <m:r>
                <m:rPr>
                  <m:sty m:val="p"/>
                </m:rPr>
                <m:t>−</m:t>
              </m:r>
            </m:oMath>
          </w:p>
        </w:tc>
        <w:tc>
          <w:tcPr/>
          <w:p>
            <w:pPr>
              <w:pStyle w:val="Compact"/>
              <w:jc w:val="left"/>
            </w:pPr>
            <w:r>
              <w:t xml:space="preserve">расчётная температура жидкости</w:t>
            </w:r>
          </w:p>
        </w:tc>
        <w:tc>
          <w:tcPr/>
          <w:p>
            <w:pPr>
              <w:pStyle w:val="Compact"/>
              <w:jc w:val="left"/>
            </w:pPr>
            <m:oMath>
              <m:r>
                <m:t>37</m:t>
              </m:r>
            </m:oMath>
            <w:r>
              <w:t xml:space="preserve"> °C</w:t>
            </w:r>
          </w:p>
        </w:tc>
      </w:tr>
    </w:tbl>
    <w:p>
      <w:pPr>
        <w:pStyle w:val="a0"/>
      </w:pPr>
      <w:r>
        <w:rPr>
          <w:bCs/>
          <w:b/>
        </w:rPr>
        <w:t xml:space="preserve">Расчёт массы паров жидкости</w:t>
      </w:r>
    </w:p>
    <w:p>
      <w:pPr>
        <w:pStyle w:val="a0"/>
      </w:pPr>
      <w:r>
        <w:t xml:space="preserve">Поскольку температура жидкости (</w:t>
      </w:r>
      <m:oMath>
        <m:r>
          <m:t>37</m:t>
        </m:r>
        <m:r>
          <m:t> </m:t>
        </m:r>
        <m:r>
          <m:rPr>
            <m:nor/>
            <m:sty m:val="p"/>
          </m:rPr>
          <m:t>°C</m:t>
        </m:r>
      </m:oMath>
      <w:r>
        <w:t xml:space="preserve">) не превышает температуру окружающей среды (</w:t>
      </w:r>
      <m:oMath>
        <m:r>
          <m:t>37</m:t>
        </m:r>
        <m:r>
          <m:t> </m:t>
        </m:r>
        <m:r>
          <m:rPr>
            <m:nor/>
            <m:sty m:val="p"/>
          </m:rPr>
          <m:t>°C</m:t>
        </m:r>
      </m:oMath>
      <w:r>
        <w:t xml:space="preserve">), то, согласно формулам (А.11), (А.12) и (А.13), расчёт массы паров жидкости выполняется следующим образом:</w:t>
      </w:r>
    </w:p>
    <w:p>
      <w:pPr>
        <w:pStyle w:val="a0"/>
      </w:pPr>
      <m:oMathPara>
        <m:oMathParaPr>
          <m:jc m:val="center"/>
        </m:oMathParaPr>
        <m:oMath>
          <m:r>
            <m:t>m</m:t>
          </m:r>
          <m:r>
            <m:rPr>
              <m:sty m:val="p"/>
            </m:rPr>
            <m:t>=</m:t>
          </m:r>
          <m:sSub>
            <m:e>
              <m:r>
                <m:t>m</m:t>
              </m:r>
            </m:e>
            <m:sub>
              <m:r>
                <m:t>р</m:t>
              </m:r>
            </m:sub>
          </m:sSub>
          <m:r>
            <m:rPr>
              <m:sty m:val="p"/>
            </m:rPr>
            <m:t>+</m:t>
          </m:r>
          <m:sSub>
            <m:e>
              <m:r>
                <m:t>m</m:t>
              </m:r>
            </m:e>
            <m:sub>
              <m:r>
                <m:t>е</m:t>
              </m:r>
              <m:r>
                <m:t>м</m:t>
              </m:r>
              <m:r>
                <m:t>к</m:t>
              </m:r>
            </m:sub>
          </m:sSub>
          <m:r>
            <m:rPr>
              <m:sty m:val="p"/>
            </m:rPr>
            <m:t>+</m:t>
          </m:r>
          <m:sSub>
            <m:e>
              <m:r>
                <m:t>m</m:t>
              </m:r>
            </m:e>
            <m:sub>
              <m:r>
                <m:t>с</m:t>
              </m:r>
              <m:r>
                <m:t>в</m:t>
              </m:r>
              <m:r>
                <m:rPr>
                  <m:sty m:val="p"/>
                </m:rPr>
                <m:t>.</m:t>
              </m:r>
              <m:r>
                <m:t>о</m:t>
              </m:r>
              <m:r>
                <m:t>к</m:t>
              </m:r>
              <m:r>
                <m:t>р</m:t>
              </m:r>
              <m:r>
                <m:rPr>
                  <m:sty m:val="p"/>
                </m:rPr>
                <m:t>.</m:t>
              </m:r>
            </m:sub>
          </m:sSub>
          <m:r>
            <m:rPr>
              <m:sty m:val="p"/>
            </m:rPr>
            <m:t>,</m:t>
          </m:r>
        </m:oMath>
      </m:oMathPara>
    </w:p>
    <w:p>
      <w:pPr>
        <w:pStyle w:val="FirstParagraph"/>
      </w:pPr>
      <w:r>
        <w:t xml:space="preserve">где:</w:t>
      </w:r>
      <w:r>
        <w:t xml:space="preserve"> </w:t>
      </w:r>
      <m:oMath>
        <m:sSub>
          <m:e>
            <m:r>
              <m:t>m</m:t>
            </m:r>
          </m:e>
          <m:sub>
            <m:r>
              <m:t>р</m:t>
            </m:r>
          </m:sub>
        </m:sSub>
      </m:oMath>
      <w:r>
        <w:t xml:space="preserve"> </w:t>
      </w:r>
      <w:r>
        <w:t xml:space="preserve">— масса жидкости, испарившейся с поверхности разлива, кг;</w:t>
      </w:r>
      <w:r>
        <w:t xml:space="preserve"> </w:t>
      </w:r>
      <m:oMath>
        <m:sSub>
          <m:e>
            <m:r>
              <m:t>m</m:t>
            </m:r>
          </m:e>
          <m:sub>
            <m:r>
              <m:t>е</m:t>
            </m:r>
            <m:r>
              <m:t>м</m:t>
            </m:r>
            <m:r>
              <m:t>к</m:t>
            </m:r>
          </m:sub>
        </m:sSub>
      </m:oMath>
      <w:r>
        <w:t xml:space="preserve"> </w:t>
      </w:r>
      <w:r>
        <w:t xml:space="preserve">— масса жидкости, испарившейся с поверхностей открытых ёмкостей, кг;</w:t>
      </w:r>
      <w:r>
        <w:t xml:space="preserve"> </w:t>
      </w:r>
      <m:oMath>
        <m:sSub>
          <m:e>
            <m:r>
              <m:t>m</m:t>
            </m:r>
          </m:e>
          <m:sub>
            <m:r>
              <m:t>с</m:t>
            </m:r>
            <m:r>
              <m:t>в</m:t>
            </m:r>
            <m:r>
              <m:rPr>
                <m:sty m:val="p"/>
              </m:rPr>
              <m:t>.</m:t>
            </m:r>
            <m:r>
              <m:t>о</m:t>
            </m:r>
            <m:r>
              <m:t>к</m:t>
            </m:r>
            <m:r>
              <m:t>р</m:t>
            </m:r>
            <m:r>
              <m:rPr>
                <m:sty m:val="p"/>
              </m:rPr>
              <m:t>.</m:t>
            </m:r>
          </m:sub>
        </m:sSub>
      </m:oMath>
      <w:r>
        <w:t xml:space="preserve"> </w:t>
      </w:r>
      <w:r>
        <w:t xml:space="preserve">— масса жидкости, испарившейся с поверхностей, на которые нанесен применяемый состав, кг.</w:t>
      </w:r>
    </w:p>
    <w:p>
      <w:pPr>
        <w:pStyle w:val="a0"/>
      </w:pPr>
      <w:r>
        <w:t xml:space="preserve">При этом каждое из слагаемых определяется по формуле:</w:t>
      </w:r>
    </w:p>
    <w:p>
      <w:pPr>
        <w:pStyle w:val="a0"/>
      </w:pPr>
      <m:oMathPara>
        <m:oMathParaPr>
          <m:jc m:val="center"/>
        </m:oMathParaPr>
        <m:oMath>
          <m:r>
            <m:t>m</m:t>
          </m:r>
          <m:r>
            <m:rPr>
              <m:sty m:val="p"/>
            </m:rPr>
            <m:t>=</m:t>
          </m:r>
          <m:r>
            <m:t>W</m:t>
          </m:r>
          <m:sSub>
            <m:e>
              <m:r>
                <m:t>F</m:t>
              </m:r>
            </m:e>
            <m:sub>
              <m:r>
                <m:t>и</m:t>
              </m:r>
            </m:sub>
          </m:sSub>
          <m:r>
            <m:t>T</m:t>
          </m:r>
          <m:r>
            <m:rPr>
              <m:sty m:val="p"/>
            </m:rPr>
            <m:t>,</m:t>
          </m:r>
        </m:oMath>
      </m:oMathPara>
    </w:p>
    <w:p>
      <w:pPr>
        <w:pStyle w:val="FirstParagraph"/>
      </w:pPr>
      <w:r>
        <w:t xml:space="preserve">где</w:t>
      </w:r>
      <w:r>
        <w:t xml:space="preserve"> </w:t>
      </w:r>
      <m:oMath>
        <m:r>
          <m:t>W</m:t>
        </m:r>
      </m:oMath>
      <w:r>
        <w:t xml:space="preserve"> </w:t>
      </w:r>
      <w:r>
        <w:t xml:space="preserve">— интенсивность испарения, определяемая по формуле:</w:t>
      </w:r>
    </w:p>
    <w:p>
      <w:pPr>
        <w:pStyle w:val="a0"/>
      </w:pPr>
      <m:oMathPara>
        <m:oMathParaPr>
          <m:jc m:val="center"/>
        </m:oMathParaPr>
        <m:oMath>
          <m:r>
            <m:t>W</m:t>
          </m:r>
          <m:r>
            <m:rPr>
              <m:sty m:val="p"/>
            </m:rPr>
            <m:t>=</m:t>
          </m:r>
          <m:sSup>
            <m:e>
              <m:r>
                <m:t>10</m:t>
              </m:r>
            </m:e>
            <m:sup>
              <m:r>
                <m:rPr>
                  <m:sty m:val="p"/>
                </m:rPr>
                <m:t>−</m:t>
              </m:r>
              <m:r>
                <m:t>6</m:t>
              </m:r>
            </m:sup>
          </m:sSup>
          <m:r>
            <m:rPr>
              <m:sty m:val="p"/>
            </m:rPr>
            <m:t>⋅</m:t>
          </m:r>
          <m:r>
            <m:t>η</m:t>
          </m:r>
          <m:rad>
            <m:radPr>
              <m:degHide m:val="1"/>
            </m:radPr>
            <m:deg/>
            <m:e>
              <m:r>
                <m:t>M</m:t>
              </m:r>
            </m:e>
          </m:rad>
          <m:r>
            <m:rPr>
              <m:sty m:val="p"/>
            </m:rPr>
            <m:t>⋅</m:t>
          </m:r>
          <m:sSub>
            <m:e>
              <m:r>
                <m:t>P</m:t>
              </m:r>
            </m:e>
            <m:sub>
              <m:r>
                <m:t>н</m:t>
              </m:r>
            </m:sub>
          </m:sSub>
          <m:r>
            <m:rPr>
              <m:sty m:val="p"/>
            </m:rPr>
            <m:t>=</m:t>
          </m:r>
          <m:r>
            <m:t>0</m:t>
          </m:r>
          <m:r>
            <m:rPr>
              <m:sty m:val="p"/>
            </m:rPr>
            <m:t>,</m:t>
          </m:r>
          <m:r>
            <m:t>00003747</m:t>
          </m:r>
          <m:r>
            <m:t> </m:t>
          </m:r>
          <m:r>
            <m:rPr>
              <m:nor/>
              <m:sty m:val="p"/>
            </m:rPr>
            <m:t>кг/(с·м²)</m:t>
          </m:r>
          <m:r>
            <m:rPr>
              <m:sty m:val="p"/>
            </m:rPr>
            <m:t>,</m:t>
          </m:r>
        </m:oMath>
      </m:oMathPara>
    </w:p>
    <w:p>
      <w:pPr>
        <w:pStyle w:val="FirstParagraph"/>
      </w:pPr>
      <w:r>
        <w:t xml:space="preserve">где:</w:t>
      </w:r>
    </w:p>
    <w:tbl>
      <w:tblPr>
        <w:tblStyle w:val="Table"/>
        <w:tblW w:type="pct" w:w="5000"/>
        <w:tblLook w:firstRow="1" w:lastRow="0" w:firstColumn="0" w:lastColumn="0" w:noHBand="0" w:noVBand="0" w:val="0020"/>
      </w:tblPr>
      <w:tblGrid>
        <w:gridCol w:w="792"/>
        <w:gridCol w:w="5544"/>
        <w:gridCol w:w="1584"/>
      </w:tblGrid>
      <w:tr>
        <w:trPr>
          <w:tblHeader w:val="true"/>
        </w:trPr>
        <w:tc>
          <w:tcPr/>
          <w:p>
            <w:pPr>
              <w:pStyle w:val="Compact"/>
              <w:jc w:val="left"/>
            </w:pPr>
            <m:oMath>
              <m:r>
                <m:t>η</m:t>
              </m:r>
            </m:oMath>
            <w:r>
              <w:t xml:space="preserve"> –</w:t>
            </w:r>
          </w:p>
        </w:tc>
        <w:tc>
          <w:tcPr/>
          <w:p>
            <w:pPr>
              <w:pStyle w:val="Compact"/>
              <w:jc w:val="left"/>
            </w:pPr>
            <w:r>
              <w:t xml:space="preserve">коэффициент, принимаемый по таблице А.2 СП 12.13130.2009 в зависимости от скорости (</w:t>
            </w:r>
            <m:oMath>
              <m:r>
                <m:t>0</m:t>
              </m:r>
              <m:r>
                <m:rPr>
                  <m:sty m:val="p"/>
                </m:rPr>
                <m:t>,</m:t>
              </m:r>
              <m:r>
                <m:t>1</m:t>
              </m:r>
              <m:r>
                <m:t> </m:t>
              </m:r>
              <m:r>
                <m:rPr>
                  <m:nor/>
                  <m:sty m:val="p"/>
                </m:rPr>
                <m:t>м/с</m:t>
              </m:r>
            </m:oMath>
            <w:r>
              <w:t xml:space="preserve">) и температуры (</w:t>
            </w:r>
            <m:oMath>
              <m:r>
                <m:t>37</m:t>
              </m:r>
              <m:r>
                <m:t> </m:t>
              </m:r>
              <m:r>
                <m:rPr>
                  <m:nor/>
                  <m:sty m:val="p"/>
                </m:rPr>
                <m:t>°C</m:t>
              </m:r>
            </m:oMath>
            <w:r>
              <w:t xml:space="preserve">) воздушного потока над поверхностью испарения</w:t>
            </w:r>
          </w:p>
        </w:tc>
        <w:tc>
          <w:tcPr/>
          <w:p>
            <w:pPr>
              <w:pStyle w:val="Compact"/>
              <w:jc w:val="left"/>
            </w:pPr>
            <m:oMath>
              <m:r>
                <m:t>1</m:t>
              </m:r>
              <m:r>
                <m:rPr>
                  <m:sty m:val="p"/>
                </m:rPr>
                <m:t>,</m:t>
              </m:r>
              <m:r>
                <m:t>3</m:t>
              </m:r>
            </m:oMath>
          </w:p>
        </w:tc>
      </w:tr>
      <w:tr>
        <w:tc>
          <w:tcPr/>
          <w:p>
            <w:pPr>
              <w:pStyle w:val="Compact"/>
              <w:jc w:val="left"/>
            </w:pPr>
            <m:oMath>
              <m:r>
                <m:t>M</m:t>
              </m:r>
            </m:oMath>
            <w:r>
              <w:t xml:space="preserve"> –</w:t>
            </w:r>
          </w:p>
        </w:tc>
        <w:tc>
          <w:tcPr/>
          <w:p>
            <w:pPr>
              <w:pStyle w:val="Compact"/>
              <w:jc w:val="left"/>
            </w:pPr>
            <w:r>
              <w:t xml:space="preserve">молярная масса жидкости</w:t>
            </w:r>
          </w:p>
        </w:tc>
        <w:tc>
          <w:tcPr/>
          <w:p>
            <w:pPr>
              <w:pStyle w:val="Compact"/>
              <w:jc w:val="left"/>
            </w:pPr>
            <m:oMath>
              <m:r>
                <m:t>106</m:t>
              </m:r>
              <m:r>
                <m:rPr>
                  <m:sty m:val="p"/>
                </m:rPr>
                <m:t>,</m:t>
              </m:r>
              <m:r>
                <m:t>2</m:t>
              </m:r>
              <m:r>
                <m:t> </m:t>
              </m:r>
              <m:r>
                <m:rPr>
                  <m:nor/>
                  <m:sty m:val="p"/>
                </m:rPr>
                <m:t>кг/кмоль</m:t>
              </m:r>
            </m:oMath>
          </w:p>
        </w:tc>
      </w:tr>
      <w:tr>
        <w:tc>
          <w:tcPr/>
          <w:p>
            <w:pPr>
              <w:pStyle w:val="Compact"/>
              <w:jc w:val="left"/>
            </w:pPr>
            <m:oMath>
              <m:sSub>
                <m:e>
                  <m:r>
                    <m:t>P</m:t>
                  </m:r>
                </m:e>
                <m:sub>
                  <m:r>
                    <m:t>н</m:t>
                  </m:r>
                </m:sub>
              </m:sSub>
            </m:oMath>
            <w:r>
              <w:t xml:space="preserve"> –</w:t>
            </w:r>
          </w:p>
        </w:tc>
        <w:tc>
          <w:tcPr/>
          <w:p>
            <w:pPr>
              <w:pStyle w:val="Compact"/>
              <w:jc w:val="left"/>
            </w:pPr>
            <w:r>
              <w:t xml:space="preserve">давление насыщенного пара при расчётной температуре жидкости</w:t>
            </w:r>
          </w:p>
        </w:tc>
        <w:tc>
          <w:tcPr/>
          <w:p>
            <w:pPr>
              <w:pStyle w:val="Compact"/>
              <w:jc w:val="left"/>
            </w:pPr>
            <m:oMath>
              <m:r>
                <m:t>2</m:t>
              </m:r>
              <m:r>
                <m:rPr>
                  <m:sty m:val="p"/>
                </m:rPr>
                <m:t>,</m:t>
              </m:r>
              <m:r>
                <m:t>755</m:t>
              </m:r>
              <m:r>
                <m:t> </m:t>
              </m:r>
              <m:r>
                <m:rPr>
                  <m:nor/>
                  <m:sty m:val="p"/>
                </m:rPr>
                <m:t>кПа</m:t>
              </m:r>
            </m:oMath>
          </w:p>
        </w:tc>
      </w:tr>
    </w:tbl>
    <w:p>
      <w:pPr>
        <w:pStyle w:val="a0"/>
      </w:pPr>
      <w:r>
        <w:t xml:space="preserve">При наличии аварийной вентиляции скорость воздушного потока в помещении можно определить по формуле:</w:t>
      </w:r>
    </w:p>
    <w:p>
      <w:pPr>
        <w:pStyle w:val="a0"/>
      </w:pPr>
      <m:oMathPara>
        <m:oMathParaPr>
          <m:jc m:val="center"/>
        </m:oMathParaPr>
        <m:oMath>
          <m:r>
            <m:t>u</m:t>
          </m:r>
          <m:r>
            <m:rPr>
              <m:sty m:val="p"/>
            </m:rPr>
            <m:t>=</m:t>
          </m:r>
          <m:d>
            <m:dPr>
              <m:begChr m:val="("/>
              <m:endChr m:val=")"/>
              <m:sepChr m:val=""/>
              <m:grow/>
            </m:dPr>
            <m:e>
              <m:r>
                <m:t>A</m:t>
              </m:r>
              <m:r>
                <m:rPr>
                  <m:sty m:val="p"/>
                </m:rPr>
                <m:t>/</m:t>
              </m:r>
              <m:r>
                <m:t>3600</m:t>
              </m:r>
            </m:e>
          </m:d>
          <m:r>
            <m:rPr>
              <m:sty m:val="p"/>
            </m:rPr>
            <m:t>⋅</m:t>
          </m:r>
          <m:r>
            <m:t>L</m:t>
          </m:r>
          <m:r>
            <m:rPr>
              <m:sty m:val="p"/>
            </m:rPr>
            <m:t>=</m:t>
          </m:r>
          <m:d>
            <m:dPr>
              <m:begChr m:val="("/>
              <m:endChr m:val=")"/>
              <m:sepChr m:val=""/>
              <m:grow/>
            </m:dPr>
            <m:e>
              <m:r>
                <m:t>6</m:t>
              </m:r>
              <m:r>
                <m:rPr>
                  <m:sty m:val="p"/>
                </m:rPr>
                <m:t>/</m:t>
              </m:r>
              <m:r>
                <m:t>3600</m:t>
              </m:r>
            </m:e>
          </m:d>
          <m:r>
            <m:rPr>
              <m:sty m:val="p"/>
            </m:rPr>
            <m:t>⋅</m:t>
          </m:r>
          <m:r>
            <m:t>32</m:t>
          </m:r>
          <m:r>
            <m:rPr>
              <m:sty m:val="p"/>
            </m:rPr>
            <m:t>=</m:t>
          </m:r>
          <m:r>
            <m:t>0</m:t>
          </m:r>
          <m:r>
            <m:rPr>
              <m:sty m:val="p"/>
            </m:rPr>
            <m:t>,</m:t>
          </m:r>
          <m:r>
            <m:t>05</m:t>
          </m:r>
          <m:r>
            <m:t> </m:t>
          </m:r>
          <m:r>
            <m:rPr>
              <m:nor/>
              <m:sty m:val="p"/>
            </m:rPr>
            <m:t>м/с</m:t>
          </m:r>
          <m:r>
            <m:rPr>
              <m:sty m:val="p"/>
            </m:rPr>
            <m:t>,</m:t>
          </m:r>
        </m:oMath>
      </m:oMathPara>
    </w:p>
    <w:p>
      <w:pPr>
        <w:pStyle w:val="FirstParagraph"/>
      </w:pPr>
      <w:r>
        <w:t xml:space="preserve">где</w:t>
      </w:r>
      <w:r>
        <w:t xml:space="preserve"> </w:t>
      </w:r>
      <m:oMath>
        <m:r>
          <m:t>A</m:t>
        </m:r>
      </m:oMath>
      <w:r>
        <w:t xml:space="preserve"> </w:t>
      </w:r>
      <w:r>
        <w:t xml:space="preserve">— кратность воздухообмена,</w:t>
      </w:r>
      <w:r>
        <w:t xml:space="preserve"> </w:t>
      </w:r>
      <m:oMath>
        <m:r>
          <m:t>ч</m:t>
        </m:r>
        <m:r>
          <m:rPr>
            <m:sty m:val="p"/>
          </m:rPr>
          <m:t>¯</m:t>
        </m:r>
        <m:r>
          <m:rPr>
            <m:sty m:val="p"/>
          </m:rPr>
          <m:t>¹</m:t>
        </m:r>
      </m:oMath>
      <w:r>
        <w:t xml:space="preserve">;</w:t>
      </w:r>
      <w:r>
        <w:t xml:space="preserve"> </w:t>
      </w:r>
      <m:oMath>
        <m:r>
          <m:t>L</m:t>
        </m:r>
      </m:oMath>
      <w:r>
        <w:t xml:space="preserve"> </w:t>
      </w:r>
      <w:r>
        <w:t xml:space="preserve">— длина помещения, м.</w:t>
      </w:r>
    </w:p>
    <w:p>
      <w:pPr>
        <w:pStyle w:val="a0"/>
      </w:pPr>
      <m:oMath>
        <m:sSub>
          <m:e>
            <m:r>
              <m:t>F</m:t>
            </m:r>
          </m:e>
          <m:sub>
            <m:r>
              <m:t>и</m:t>
            </m:r>
          </m:sub>
        </m:sSub>
      </m:oMath>
      <w:r>
        <w:t xml:space="preserve"> </w:t>
      </w:r>
      <w:r>
        <w:t xml:space="preserve">— площадь испарения, м²; T — время испарения, с — приведены в таблице:</w:t>
      </w:r>
    </w:p>
    <w:tbl>
      <w:tblPr>
        <w:tblStyle w:val="Table"/>
        <w:tblW w:type="pct" w:w="5000"/>
        <w:tblLook w:firstRow="1" w:lastRow="0" w:firstColumn="0" w:lastColumn="0" w:noHBand="0" w:noVBand="0" w:val="0020"/>
      </w:tblPr>
      <w:tblGrid>
        <w:gridCol w:w="1980"/>
        <w:gridCol w:w="1584"/>
        <w:gridCol w:w="2376"/>
        <w:gridCol w:w="1980"/>
      </w:tblGrid>
      <w:tr>
        <w:trPr>
          <w:tblHeader w:val="true"/>
        </w:trPr>
        <w:tc>
          <w:tcPr/>
          <w:p>
            <w:pPr>
              <w:pStyle w:val="Compact"/>
              <w:jc w:val="left"/>
            </w:pPr>
            <w:r>
              <w:t xml:space="preserve">Источники испарения</w:t>
            </w:r>
          </w:p>
        </w:tc>
        <w:tc>
          <w:tcPr/>
          <w:p>
            <w:pPr>
              <w:pStyle w:val="Compact"/>
              <w:jc w:val="left"/>
            </w:pPr>
            <w:r>
              <w:t xml:space="preserve">Площадь, м²</w:t>
            </w:r>
          </w:p>
        </w:tc>
        <w:tc>
          <w:tcPr/>
          <w:p>
            <w:pPr>
              <w:pStyle w:val="Compact"/>
              <w:jc w:val="left"/>
            </w:pPr>
            <w:r>
              <w:t xml:space="preserve">Продолжительность испарения, с</w:t>
            </w:r>
          </w:p>
        </w:tc>
        <w:tc>
          <w:tcPr/>
          <w:p>
            <w:pPr>
              <w:pStyle w:val="Compact"/>
              <w:jc w:val="left"/>
            </w:pPr>
            <w:r>
              <w:t xml:space="preserve">Масса паров жидкости, кг</w:t>
            </w:r>
          </w:p>
        </w:tc>
      </w:tr>
      <w:tr>
        <w:tc>
          <w:tcPr/>
          <w:p>
            <w:pPr>
              <w:pStyle w:val="Compact"/>
              <w:jc w:val="left"/>
            </w:pPr>
            <w:r>
              <w:t xml:space="preserve">Поверхность разлива</w:t>
            </w:r>
          </w:p>
        </w:tc>
        <w:tc>
          <w:tcPr/>
          <w:p>
            <w:pPr>
              <w:pStyle w:val="Compact"/>
              <w:jc w:val="left"/>
            </w:pPr>
            <m:oMath>
              <m:r>
                <m:t>317</m:t>
              </m:r>
              <m:r>
                <m:rPr>
                  <m:sty m:val="p"/>
                </m:rPr>
                <m:t>,</m:t>
              </m:r>
              <m:r>
                <m:t>5</m:t>
              </m:r>
              <m:r>
                <m:t> </m:t>
              </m:r>
              <m:r>
                <m:rPr>
                  <m:nor/>
                  <m:sty m:val="p"/>
                </m:rPr>
                <m:t>м²</m:t>
              </m:r>
            </m:oMath>
          </w:p>
        </w:tc>
        <w:tc>
          <w:tcPr/>
          <w:p>
            <w:pPr>
              <w:pStyle w:val="Compact"/>
              <w:jc w:val="left"/>
            </w:pPr>
            <m:oMath>
              <m:r>
                <m:t>3600</m:t>
              </m:r>
              <m:r>
                <m:t> </m:t>
              </m:r>
              <m:r>
                <m:rPr>
                  <m:nor/>
                  <m:sty m:val="p"/>
                </m:rPr>
                <m:t>с</m:t>
              </m:r>
            </m:oMath>
          </w:p>
        </w:tc>
        <w:tc>
          <w:tcPr/>
          <w:p>
            <w:pPr>
              <w:pStyle w:val="Compact"/>
              <w:jc w:val="left"/>
            </w:pPr>
            <m:oMath>
              <m:r>
                <m:t>42</m:t>
              </m:r>
              <m:r>
                <m:rPr>
                  <m:sty m:val="p"/>
                </m:rPr>
                <m:t>,</m:t>
              </m:r>
              <m:r>
                <m:t>827</m:t>
              </m:r>
              <m:r>
                <m:t> </m:t>
              </m:r>
              <m:r>
                <m:rPr>
                  <m:nor/>
                  <m:sty m:val="p"/>
                </m:rPr>
                <m:t>кг</m:t>
              </m:r>
            </m:oMath>
          </w:p>
        </w:tc>
      </w:tr>
      <w:tr>
        <w:tc>
          <w:tcPr/>
          <w:p>
            <w:pPr>
              <w:pStyle w:val="Compact"/>
              <w:jc w:val="left"/>
            </w:pPr>
            <w:r>
              <w:t xml:space="preserve">Поверхность испарения_01</w:t>
            </w:r>
          </w:p>
        </w:tc>
        <w:tc>
          <w:tcPr/>
          <w:p>
            <w:pPr>
              <w:pStyle w:val="Compact"/>
              <w:jc w:val="left"/>
            </w:pPr>
            <m:oMath>
              <m:r>
                <m:t>1</m:t>
              </m:r>
              <m:r>
                <m:rPr>
                  <m:sty m:val="p"/>
                </m:rPr>
                <m:t>,</m:t>
              </m:r>
              <m:r>
                <m:t>5</m:t>
              </m:r>
              <m:r>
                <m:t> </m:t>
              </m:r>
              <m:r>
                <m:rPr>
                  <m:nor/>
                  <m:sty m:val="p"/>
                </m:rPr>
                <m:t>м²</m:t>
              </m:r>
            </m:oMath>
          </w:p>
        </w:tc>
        <w:tc>
          <w:tcPr/>
          <w:p>
            <w:pPr>
              <w:pStyle w:val="Compact"/>
              <w:jc w:val="left"/>
            </w:pPr>
            <m:oMath>
              <m:r>
                <m:t>3600</m:t>
              </m:r>
              <m:r>
                <m:t> </m:t>
              </m:r>
              <m:r>
                <m:rPr>
                  <m:nor/>
                  <m:sty m:val="p"/>
                </m:rPr>
                <m:t>с</m:t>
              </m:r>
            </m:oMath>
          </w:p>
        </w:tc>
        <w:tc>
          <w:tcPr/>
          <w:p>
            <w:pPr>
              <w:pStyle w:val="Compact"/>
              <w:jc w:val="left"/>
            </w:pPr>
            <m:oMath>
              <m:r>
                <m:t>0</m:t>
              </m:r>
              <m:r>
                <m:rPr>
                  <m:sty m:val="p"/>
                </m:rPr>
                <m:t>,</m:t>
              </m:r>
              <m:r>
                <m:t>202</m:t>
              </m:r>
              <m:r>
                <m:t> </m:t>
              </m:r>
              <m:r>
                <m:rPr>
                  <m:nor/>
                  <m:sty m:val="p"/>
                </m:rPr>
                <m:t>кг</m:t>
              </m:r>
            </m:oMath>
          </w:p>
        </w:tc>
      </w:tr>
      <w:tr>
        <w:tc>
          <w:tcPr/>
          <w:p>
            <w:pPr>
              <w:pStyle w:val="Compact"/>
              <w:jc w:val="left"/>
            </w:pPr>
            <w:r>
              <w:t xml:space="preserve">Поверхность испарения_02</w:t>
            </w:r>
          </w:p>
        </w:tc>
        <w:tc>
          <w:tcPr/>
          <w:p>
            <w:pPr>
              <w:pStyle w:val="Compact"/>
              <w:jc w:val="left"/>
            </w:pPr>
            <m:oMath>
              <m:r>
                <m:t>6</m:t>
              </m:r>
              <m:r>
                <m:rPr>
                  <m:sty m:val="p"/>
                </m:rPr>
                <m:t>,</m:t>
              </m:r>
              <m:r>
                <m:t>3</m:t>
              </m:r>
              <m:r>
                <m:t> </m:t>
              </m:r>
              <m:r>
                <m:rPr>
                  <m:nor/>
                  <m:sty m:val="p"/>
                </m:rPr>
                <m:t>м²</m:t>
              </m:r>
            </m:oMath>
          </w:p>
        </w:tc>
        <w:tc>
          <w:tcPr/>
          <w:p>
            <w:pPr>
              <w:pStyle w:val="Compact"/>
              <w:jc w:val="left"/>
            </w:pPr>
            <m:oMath>
              <m:r>
                <m:t>3600</m:t>
              </m:r>
              <m:r>
                <m:t> </m:t>
              </m:r>
              <m:r>
                <m:rPr>
                  <m:nor/>
                  <m:sty m:val="p"/>
                </m:rPr>
                <m:t>с</m:t>
              </m:r>
            </m:oMath>
          </w:p>
        </w:tc>
        <w:tc>
          <w:tcPr/>
          <w:p>
            <w:pPr>
              <w:pStyle w:val="Compact"/>
              <w:jc w:val="left"/>
            </w:pPr>
            <m:oMath>
              <m:r>
                <m:t>0</m:t>
              </m:r>
              <m:r>
                <m:rPr>
                  <m:sty m:val="p"/>
                </m:rPr>
                <m:t>,</m:t>
              </m:r>
              <m:r>
                <m:t>85</m:t>
              </m:r>
              <m:r>
                <m:t> </m:t>
              </m:r>
              <m:r>
                <m:rPr>
                  <m:nor/>
                  <m:sty m:val="p"/>
                </m:rPr>
                <m:t>кг</m:t>
              </m:r>
            </m:oMath>
          </w:p>
        </w:tc>
      </w:tr>
    </w:tbl>
    <w:p>
      <w:pPr>
        <w:pStyle w:val="a0"/>
      </w:pPr>
      <w:r>
        <w:t xml:space="preserve">Итого: масса паров жидкости составляет</w:t>
      </w:r>
      <w:r>
        <w:t xml:space="preserve"> </w:t>
      </w:r>
      <m:oMath>
        <m:r>
          <m:t>43</m:t>
        </m:r>
        <m:r>
          <m:rPr>
            <m:sty m:val="p"/>
          </m:rPr>
          <m:t>,</m:t>
        </m:r>
        <m:r>
          <m:t>88</m:t>
        </m:r>
        <m:r>
          <m:t> </m:t>
        </m:r>
        <m:r>
          <m:rPr>
            <m:nor/>
            <m:sty m:val="p"/>
          </m:rPr>
          <m:t>кг</m:t>
        </m:r>
      </m:oMath>
      <w:r>
        <w:t xml:space="preserve">.</w:t>
      </w:r>
    </w:p>
    <w:p>
      <w:pPr>
        <w:pStyle w:val="a0"/>
      </w:pPr>
      <w:r>
        <w:t xml:space="preserve">При определении массы газа или пара допускается учитывать работу аварийной вентиляции, если она обеспечена резервными вентиляторами, автоматическим пуском при превышении предельно допустимой взрывобезопасной концентрации и электроснабжением по первой категории надёжности по Правилам устройства электроустановок (ПУЭ), при условии расположения устройств для удаления воздуха из помещения в непосредственной близости от места возможной аварии.</w:t>
      </w:r>
    </w:p>
    <w:p>
      <w:pPr>
        <w:pStyle w:val="a0"/>
      </w:pPr>
      <w:r>
        <w:t xml:space="preserve">Допускается учитывать постоянно работающую общеобменную вентиляцию, обеспечивающую концентрацию горючих газов и паров в помещении, не превышающую предельно допустимую взрывобезопасную концентрацию, рассчитанную для аварийной вентиляции. Указанная общеобменная вентиляция должна быть оборудована резервными вентиляторами, включающимися автоматически при остановке основных. Электроснабжение указанной вентиляции должно осуществляться не ниже чем по первой категории надёжности по ПУЭ.</w:t>
      </w:r>
    </w:p>
    <w:p>
      <w:pPr>
        <w:pStyle w:val="a0"/>
      </w:pPr>
      <w:r>
        <w:t xml:space="preserve">Коэффициент</w:t>
      </w:r>
      <w:r>
        <w:t xml:space="preserve"> </w:t>
      </w:r>
      <m:oMath>
        <m:r>
          <m:t>K</m:t>
        </m:r>
      </m:oMath>
      <w:r>
        <w:t xml:space="preserve"> </w:t>
      </w:r>
      <w:r>
        <w:t xml:space="preserve">определяется по формуле:</w:t>
      </w:r>
    </w:p>
    <w:p>
      <w:pPr>
        <w:pStyle w:val="a0"/>
      </w:pPr>
      <m:oMathPara>
        <m:oMathParaPr>
          <m:jc m:val="center"/>
        </m:oMathParaPr>
        <m:oMath>
          <m:r>
            <m:t>K</m:t>
          </m:r>
          <m:r>
            <m:rPr>
              <m:sty m:val="p"/>
            </m:rPr>
            <m:t>=</m:t>
          </m:r>
          <m:r>
            <m:t>A</m:t>
          </m:r>
          <m:r>
            <m:t>T</m:t>
          </m:r>
          <m:r>
            <m:rPr>
              <m:sty m:val="p"/>
            </m:rPr>
            <m:t>+</m:t>
          </m:r>
          <m:r>
            <m:t>1</m:t>
          </m:r>
          <m:r>
            <m:rPr>
              <m:sty m:val="p"/>
            </m:rPr>
            <m:t>=</m:t>
          </m:r>
          <m:r>
            <m:t>7</m:t>
          </m:r>
          <m:r>
            <m:rPr>
              <m:sty m:val="p"/>
            </m:rPr>
            <m:t>,</m:t>
          </m:r>
        </m:oMath>
      </m:oMathPara>
    </w:p>
    <w:p>
      <w:pPr>
        <w:pStyle w:val="FirstParagraph"/>
      </w:pPr>
      <w:r>
        <w:t xml:space="preserve">где</w:t>
      </w:r>
      <w:r>
        <w:t xml:space="preserve"> </w:t>
      </w:r>
      <m:oMath>
        <m:r>
          <m:t>А</m:t>
        </m:r>
        <m:r>
          <m:rPr>
            <m:sty m:val="p"/>
          </m:rPr>
          <m:t>=</m:t>
        </m:r>
        <m:r>
          <m:t>0</m:t>
        </m:r>
        <m:r>
          <m:rPr>
            <m:sty m:val="p"/>
          </m:rPr>
          <m:t>,</m:t>
        </m:r>
        <m:r>
          <m:t>001667</m:t>
        </m:r>
        <m:r>
          <m:t> </m:t>
        </m:r>
        <m:r>
          <m:rPr>
            <m:nor/>
            <m:sty m:val="p"/>
          </m:rPr>
          <m:t>c¯¹</m:t>
        </m:r>
      </m:oMath>
      <w:r>
        <w:t xml:space="preserve"> </w:t>
      </w:r>
      <w:r>
        <w:t xml:space="preserve">— кратность воздухообмена, создаваемого аварийной вентиляцией;</w:t>
      </w:r>
      <w:r>
        <w:t xml:space="preserve"> </w:t>
      </w:r>
      <m:oMath>
        <m:r>
          <m:t>T</m:t>
        </m:r>
        <m:r>
          <m:rPr>
            <m:sty m:val="p"/>
          </m:rPr>
          <m:t>=</m:t>
        </m:r>
        <m:r>
          <m:t>3600</m:t>
        </m:r>
        <m:r>
          <m:t> </m:t>
        </m:r>
        <m:r>
          <m:rPr>
            <m:nor/>
            <m:sty m:val="p"/>
          </m:rPr>
          <m:t>с</m:t>
        </m:r>
      </m:oMath>
      <w:r>
        <w:t xml:space="preserve"> </w:t>
      </w:r>
      <w:r>
        <w:t xml:space="preserve">— продолжительность поступления горючих газов и паров легковоспламеняющихся и горючих жидкостей в объём помещения.</w:t>
      </w:r>
    </w:p>
    <w:p>
      <w:pPr>
        <w:pStyle w:val="a0"/>
      </w:pPr>
      <w:r>
        <w:t xml:space="preserve">Масса пара, поступившего в помещение, с учётом работы аварийной вентиляции составляет</w:t>
      </w:r>
      <w:r>
        <w:t xml:space="preserve"> </w:t>
      </w:r>
      <m:oMath>
        <m:r>
          <m:t>6</m:t>
        </m:r>
        <m:r>
          <m:rPr>
            <m:sty m:val="p"/>
          </m:rPr>
          <m:t>,</m:t>
        </m:r>
        <m:r>
          <m:t>269</m:t>
        </m:r>
        <m:r>
          <m:t> </m:t>
        </m:r>
        <m:r>
          <m:rPr>
            <m:nor/>
            <m:sty m:val="p"/>
          </m:rPr>
          <m:t>кг</m:t>
        </m:r>
      </m:oMath>
      <w:r>
        <w:t xml:space="preserve">.</w:t>
      </w:r>
    </w:p>
    <w:p>
      <w:pPr>
        <w:pStyle w:val="a0"/>
      </w:pPr>
      <w:r>
        <w:rPr>
          <w:bCs/>
          <w:b/>
        </w:rPr>
        <w:t xml:space="preserve">Расчёт коэффициента Z участия в горении паров жидкости</w:t>
      </w:r>
    </w:p>
    <w:p>
      <w:pPr>
        <w:pStyle w:val="a0"/>
      </w:pPr>
      <w:r>
        <w:t xml:space="preserve">Жидкость нагрета до температуры вспышки или выше.</w:t>
      </w:r>
    </w:p>
    <w:p>
      <w:pPr>
        <w:pStyle w:val="a0"/>
      </w:pPr>
      <w:r>
        <w:t xml:space="preserve">Проверка условия Д.1:</w:t>
      </w:r>
    </w:p>
    <w:p>
      <w:pPr>
        <w:pStyle w:val="a0"/>
      </w:pPr>
      <m:oMathPara>
        <m:oMathParaPr>
          <m:jc m:val="center"/>
        </m:oMathParaPr>
        <m:oMath>
          <m:f>
            <m:fPr>
              <m:type m:val="bar"/>
            </m:fPr>
            <m:num>
              <m:r>
                <m:t>100</m:t>
              </m:r>
              <m:r>
                <m:t>m</m:t>
              </m:r>
            </m:num>
            <m:den>
              <m:sSub>
                <m:e>
                  <m:r>
                    <m:t>ρ</m:t>
                  </m:r>
                </m:e>
                <m:sub>
                  <m:r>
                    <m:t>п</m:t>
                  </m:r>
                </m:sub>
              </m:sSub>
              <m:sSub>
                <m:e>
                  <m:r>
                    <m:t>V</m:t>
                  </m:r>
                </m:e>
                <m:sub>
                  <m:r>
                    <m:t>с</m:t>
                  </m:r>
                  <m:r>
                    <m:t>в</m:t>
                  </m:r>
                </m:sub>
              </m:sSub>
            </m:den>
          </m:f>
          <m:r>
            <m:rPr>
              <m:sty m:val="p"/>
            </m:rPr>
            <m:t>&lt;</m:t>
          </m:r>
          <m:r>
            <m:t>0</m:t>
          </m:r>
          <m:r>
            <m:rPr>
              <m:sty m:val="p"/>
            </m:rPr>
            <m:t>,</m:t>
          </m:r>
          <m:r>
            <m:t>5</m:t>
          </m:r>
          <m:sSub>
            <m:e>
              <m:r>
                <m:t>C</m:t>
              </m:r>
            </m:e>
            <m:sub>
              <m:r>
                <m:t>Н</m:t>
              </m:r>
              <m:r>
                <m:t>К</m:t>
              </m:r>
              <m:r>
                <m:t>П</m:t>
              </m:r>
              <m:r>
                <m:t>Р</m:t>
              </m:r>
            </m:sub>
          </m:sSub>
          <m:r>
            <m:rPr>
              <m:sty m:val="p"/>
            </m:rPr>
            <m:t>,</m:t>
          </m:r>
        </m:oMath>
      </m:oMathPara>
    </w:p>
    <w:p>
      <w:pPr>
        <w:pStyle w:val="FirstParagraph"/>
      </w:pPr>
      <w:r>
        <w:t xml:space="preserve">где:</w:t>
      </w:r>
    </w:p>
    <w:tbl>
      <w:tblPr>
        <w:tblStyle w:val="Table"/>
        <w:tblW w:type="pct" w:w="5000"/>
        <w:tblLook w:firstRow="1" w:lastRow="0" w:firstColumn="0" w:lastColumn="0" w:noHBand="0" w:noVBand="0" w:val="0020"/>
      </w:tblPr>
      <w:tblGrid>
        <w:gridCol w:w="792"/>
        <w:gridCol w:w="5544"/>
        <w:gridCol w:w="1584"/>
      </w:tblGrid>
      <w:tr>
        <w:trPr>
          <w:tblHeader w:val="true"/>
        </w:trPr>
        <w:tc>
          <w:tcPr/>
          <w:p>
            <w:pPr>
              <w:pStyle w:val="Compact"/>
              <w:jc w:val="left"/>
            </w:pPr>
            <m:oMath>
              <m:r>
                <m:t>m</m:t>
              </m:r>
            </m:oMath>
            <w:r>
              <w:t xml:space="preserve"> –</w:t>
            </w:r>
          </w:p>
        </w:tc>
        <w:tc>
          <w:tcPr/>
          <w:p>
            <w:pPr>
              <w:pStyle w:val="Compact"/>
              <w:jc w:val="left"/>
            </w:pPr>
            <w:r>
              <w:t xml:space="preserve">масса паров ЛВЖ</w:t>
            </w:r>
          </w:p>
        </w:tc>
        <w:tc>
          <w:tcPr/>
          <w:p>
            <w:pPr>
              <w:pStyle w:val="Compact"/>
              <w:jc w:val="left"/>
            </w:pPr>
            <m:oMath>
              <m:r>
                <m:t>6</m:t>
              </m:r>
              <m:r>
                <m:rPr>
                  <m:sty m:val="p"/>
                </m:rPr>
                <m:t>,</m:t>
              </m:r>
              <m:r>
                <m:t>269</m:t>
              </m:r>
              <m:r>
                <m:t> </m:t>
              </m:r>
              <m:r>
                <m:rPr>
                  <m:nor/>
                  <m:sty m:val="p"/>
                </m:rPr>
                <m:t>кг</m:t>
              </m:r>
            </m:oMath>
          </w:p>
        </w:tc>
      </w:tr>
      <w:tr>
        <w:tc>
          <w:tcPr/>
          <w:p>
            <w:pPr>
              <w:pStyle w:val="Compact"/>
              <w:jc w:val="left"/>
            </w:pPr>
            <m:oMath>
              <m:sSub>
                <m:e>
                  <m:r>
                    <m:t>ρ</m:t>
                  </m:r>
                </m:e>
                <m:sub>
                  <m:r>
                    <m:t>п</m:t>
                  </m:r>
                </m:sub>
              </m:sSub>
            </m:oMath>
            <w:r>
              <w:t xml:space="preserve"> –</w:t>
            </w:r>
          </w:p>
        </w:tc>
        <w:tc>
          <w:tcPr/>
          <w:p>
            <w:pPr>
              <w:pStyle w:val="Compact"/>
              <w:jc w:val="left"/>
            </w:pPr>
            <w:r>
              <w:t xml:space="preserve">плотность паров ЛВЖ при расчётной температуре</w:t>
            </w:r>
          </w:p>
        </w:tc>
        <w:tc>
          <w:tcPr/>
          <w:p>
            <w:pPr>
              <w:pStyle w:val="Compact"/>
              <w:jc w:val="left"/>
            </w:pPr>
            <m:oMath>
              <m:r>
                <m:t>4</m:t>
              </m:r>
              <m:r>
                <m:rPr>
                  <m:sty m:val="p"/>
                </m:rPr>
                <m:t>,</m:t>
              </m:r>
              <m:r>
                <m:t>172</m:t>
              </m:r>
              <m:r>
                <m:t> </m:t>
              </m:r>
              <m:r>
                <m:rPr>
                  <m:nor/>
                  <m:sty m:val="p"/>
                </m:rPr>
                <m:t>кг/м³</m:t>
              </m:r>
            </m:oMath>
          </w:p>
        </w:tc>
      </w:tr>
      <w:tr>
        <w:tc>
          <w:tcPr/>
          <w:p>
            <w:pPr>
              <w:pStyle w:val="Compact"/>
              <w:jc w:val="left"/>
            </w:pPr>
            <m:oMath>
              <m:sSub>
                <m:e>
                  <m:r>
                    <m:t>V</m:t>
                  </m:r>
                </m:e>
                <m:sub>
                  <m:r>
                    <m:t>с</m:t>
                  </m:r>
                  <m:r>
                    <m:t>в</m:t>
                  </m:r>
                </m:sub>
              </m:sSub>
            </m:oMath>
            <w:r>
              <w:t xml:space="preserve"> –</w:t>
            </w:r>
          </w:p>
        </w:tc>
        <w:tc>
          <w:tcPr/>
          <w:p>
            <w:pPr>
              <w:pStyle w:val="Compact"/>
              <w:jc w:val="left"/>
            </w:pPr>
            <w:r>
              <w:t xml:space="preserve">свободный объём помещения</w:t>
            </w:r>
          </w:p>
        </w:tc>
        <w:tc>
          <w:tcPr/>
          <w:p>
            <w:pPr>
              <w:pStyle w:val="Compact"/>
              <w:jc w:val="left"/>
            </w:pPr>
            <m:oMath>
              <m:r>
                <m:t>2048</m:t>
              </m:r>
              <m:r>
                <m:t> </m:t>
              </m:r>
              <m:r>
                <m:rPr>
                  <m:nor/>
                  <m:sty m:val="p"/>
                </m:rPr>
                <m:t>м³</m:t>
              </m:r>
            </m:oMath>
          </w:p>
        </w:tc>
      </w:tr>
      <w:tr>
        <w:tc>
          <w:tcPr/>
          <w:p>
            <w:pPr>
              <w:pStyle w:val="Compact"/>
              <w:jc w:val="left"/>
            </w:pPr>
            <m:oMath>
              <m:sSub>
                <m:e>
                  <m:r>
                    <m:t>C</m:t>
                  </m:r>
                </m:e>
                <m:sub>
                  <m:r>
                    <m:t>Н</m:t>
                  </m:r>
                  <m:r>
                    <m:t>К</m:t>
                  </m:r>
                  <m:r>
                    <m:t>П</m:t>
                  </m:r>
                  <m:r>
                    <m:t>Р</m:t>
                  </m:r>
                </m:sub>
              </m:sSub>
            </m:oMath>
            <w:r>
              <w:t xml:space="preserve"> –</w:t>
            </w:r>
          </w:p>
        </w:tc>
        <w:tc>
          <w:tcPr/>
          <w:p>
            <w:pPr>
              <w:pStyle w:val="Compact"/>
              <w:jc w:val="left"/>
            </w:pPr>
            <w:r>
              <w:t xml:space="preserve">нижний концентрационный предел распространения пламени</w:t>
            </w:r>
          </w:p>
        </w:tc>
        <w:tc>
          <w:tcPr/>
          <w:p>
            <w:pPr>
              <w:pStyle w:val="Compact"/>
              <w:jc w:val="left"/>
            </w:pPr>
            <m:oMath>
              <m:r>
                <m:t>1</m:t>
              </m:r>
              <m:r>
                <m:rPr>
                  <m:sty m:val="p"/>
                </m:rPr>
                <m:t>,</m:t>
              </m:r>
              <m:r>
                <m:t>1</m:t>
              </m:r>
            </m:oMath>
            <w:r>
              <w:t xml:space="preserve"> </w:t>
            </w:r>
            <w:r>
              <w:t xml:space="preserve">% об.</w:t>
            </w:r>
          </w:p>
        </w:tc>
      </w:tr>
    </w:tbl>
    <w:p>
      <w:pPr>
        <w:pStyle w:val="a0"/>
      </w:pPr>
      <m:oMath>
        <m:r>
          <m:t>0</m:t>
        </m:r>
        <m:r>
          <m:rPr>
            <m:sty m:val="p"/>
          </m:rPr>
          <m:t>,</m:t>
        </m:r>
        <m:r>
          <m:t>07</m:t>
        </m:r>
        <m:r>
          <m:rPr>
            <m:sty m:val="p"/>
          </m:rPr>
          <m:t>&lt;</m:t>
        </m:r>
        <m:r>
          <m:t>0</m:t>
        </m:r>
        <m:r>
          <m:rPr>
            <m:sty m:val="p"/>
          </m:rPr>
          <m:t>,</m:t>
        </m:r>
        <m:r>
          <m:t>55</m:t>
        </m:r>
      </m:oMath>
      <w:r>
        <w:t xml:space="preserve"> </w:t>
      </w:r>
      <w:r>
        <w:t xml:space="preserve">— условие Д.1 выполняется.</w:t>
      </w:r>
    </w:p>
    <w:p>
      <w:pPr>
        <w:pStyle w:val="a0"/>
      </w:pPr>
      <w:r>
        <w:t xml:space="preserve">Отношение длины помещения к ширине составляет 3,2 ≤ 5. Условие выполняется.</w:t>
      </w:r>
    </w:p>
    <w:p>
      <w:pPr>
        <w:pStyle w:val="a0"/>
      </w:pPr>
      <w:r>
        <w:t xml:space="preserve">Определение концентрации насыщенных паров при расчётной температуре воздуха в помещении, %:</w:t>
      </w:r>
    </w:p>
    <w:p>
      <w:pPr>
        <w:pStyle w:val="a0"/>
      </w:pPr>
      <m:oMathPara>
        <m:oMathParaPr>
          <m:jc m:val="center"/>
        </m:oMathParaPr>
        <m:oMath>
          <m:sSub>
            <m:e>
              <m:r>
                <m:t>C</m:t>
              </m:r>
            </m:e>
            <m:sub>
              <m:r>
                <m:t>н</m:t>
              </m:r>
            </m:sub>
          </m:sSub>
          <m:r>
            <m:rPr>
              <m:sty m:val="p"/>
            </m:rPr>
            <m:t>=</m:t>
          </m:r>
          <m:r>
            <m:t>100</m:t>
          </m:r>
          <m:f>
            <m:fPr>
              <m:type m:val="bar"/>
            </m:fPr>
            <m:num>
              <m:sSub>
                <m:e>
                  <m:r>
                    <m:t>P</m:t>
                  </m:r>
                </m:e>
                <m:sub>
                  <m:r>
                    <m:t>н</m:t>
                  </m:r>
                </m:sub>
              </m:sSub>
            </m:num>
            <m:den>
              <m:sSub>
                <m:e>
                  <m:r>
                    <m:t>P</m:t>
                  </m:r>
                </m:e>
                <m:sub>
                  <m:r>
                    <m:t>0</m:t>
                  </m:r>
                </m:sub>
              </m:sSub>
            </m:den>
          </m:f>
          <m:r>
            <m:rPr>
              <m:sty m:val="p"/>
            </m:rPr>
            <m:t>=</m:t>
          </m:r>
          <m:r>
            <m:t>2</m:t>
          </m:r>
          <m:r>
            <m:rPr>
              <m:sty m:val="p"/>
            </m:rPr>
            <m:t>,</m:t>
          </m:r>
          <m:r>
            <m:t>73</m:t>
          </m:r>
          <m:r>
            <m:rPr>
              <m:sty m:val="p"/>
            </m:rPr>
            <m:t>,</m:t>
          </m:r>
        </m:oMath>
      </m:oMathPara>
    </w:p>
    <w:p>
      <w:pPr>
        <w:pStyle w:val="FirstParagraph"/>
      </w:pPr>
      <w:r>
        <w:t xml:space="preserve">где:</w:t>
      </w:r>
    </w:p>
    <w:tbl>
      <w:tblPr>
        <w:tblStyle w:val="Table"/>
        <w:tblW w:type="pct" w:w="5000"/>
        <w:tblLook w:firstRow="1" w:lastRow="0" w:firstColumn="0" w:lastColumn="0" w:noHBand="0" w:noVBand="0" w:val="0020"/>
      </w:tblPr>
      <w:tblGrid>
        <w:gridCol w:w="792"/>
        <w:gridCol w:w="5544"/>
        <w:gridCol w:w="1584"/>
      </w:tblGrid>
      <w:tr>
        <w:trPr>
          <w:tblHeader w:val="true"/>
        </w:trPr>
        <w:tc>
          <w:tcPr/>
          <w:p>
            <w:pPr>
              <w:pStyle w:val="Compact"/>
              <w:jc w:val="left"/>
            </w:pPr>
            <m:oMath>
              <m:sSub>
                <m:e>
                  <m:r>
                    <m:t>P</m:t>
                  </m:r>
                </m:e>
                <m:sub>
                  <m:r>
                    <m:t>н</m:t>
                  </m:r>
                </m:sub>
              </m:sSub>
            </m:oMath>
            <w:r>
              <w:t xml:space="preserve"> –</w:t>
            </w:r>
          </w:p>
        </w:tc>
        <w:tc>
          <w:tcPr/>
          <w:p>
            <w:pPr>
              <w:pStyle w:val="Compact"/>
              <w:jc w:val="left"/>
            </w:pPr>
            <w:r>
              <w:t xml:space="preserve">давление насыщенных паров при расчётной температуре</w:t>
            </w:r>
          </w:p>
        </w:tc>
        <w:tc>
          <w:tcPr/>
          <w:p>
            <w:pPr>
              <w:pStyle w:val="Compact"/>
              <w:jc w:val="left"/>
            </w:pPr>
            <m:oMath>
              <m:r>
                <m:t>2</m:t>
              </m:r>
              <m:r>
                <m:rPr>
                  <m:sty m:val="p"/>
                </m:rPr>
                <m:t>,</m:t>
              </m:r>
              <m:r>
                <m:t>755</m:t>
              </m:r>
              <m:r>
                <m:t> </m:t>
              </m:r>
              <m:r>
                <m:rPr>
                  <m:nor/>
                  <m:sty m:val="p"/>
                </m:rPr>
                <m:t>кПа</m:t>
              </m:r>
            </m:oMath>
          </w:p>
        </w:tc>
      </w:tr>
      <w:tr>
        <w:tc>
          <w:tcPr/>
          <w:p>
            <w:pPr>
              <w:pStyle w:val="Compact"/>
              <w:jc w:val="left"/>
            </w:pPr>
            <m:oMath>
              <m:sSub>
                <m:e>
                  <m:r>
                    <m:t>P</m:t>
                  </m:r>
                </m:e>
                <m:sub>
                  <m:r>
                    <m:t>0</m:t>
                  </m:r>
                </m:sub>
              </m:sSub>
            </m:oMath>
            <w:r>
              <w:t xml:space="preserve"> –</w:t>
            </w:r>
          </w:p>
        </w:tc>
        <w:tc>
          <w:tcPr/>
          <w:p>
            <w:pPr>
              <w:pStyle w:val="Compact"/>
              <w:jc w:val="left"/>
            </w:pPr>
            <w:r>
              <w:t xml:space="preserve">атмосферное давление</w:t>
            </w:r>
          </w:p>
        </w:tc>
        <w:tc>
          <w:tcPr/>
          <w:p>
            <w:pPr>
              <w:pStyle w:val="Compact"/>
              <w:jc w:val="left"/>
            </w:pPr>
            <m:oMath>
              <m:r>
                <m:t>101</m:t>
              </m:r>
            </m:oMath>
            <w:r>
              <w:t xml:space="preserve"> кПа</w:t>
            </w:r>
          </w:p>
        </w:tc>
      </w:tr>
    </w:tbl>
    <w:p>
      <w:pPr>
        <w:pStyle w:val="a0"/>
      </w:pPr>
      <w:r>
        <w:t xml:space="preserve">Определение предэкспоненциального множителя</w:t>
      </w:r>
      <w:r>
        <w:t xml:space="preserve"> </w:t>
      </w:r>
      <m:oMath>
        <m:sSub>
          <m:e>
            <m:r>
              <m:t>C</m:t>
            </m:r>
          </m:e>
          <m:sub>
            <m:r>
              <m:t>0</m:t>
            </m:r>
          </m:sub>
        </m:sSub>
      </m:oMath>
      <w:r>
        <w:t xml:space="preserve">:</w:t>
      </w:r>
    </w:p>
    <w:p>
      <w:pPr>
        <w:pStyle w:val="a0"/>
      </w:pPr>
      <m:oMathPara>
        <m:oMathParaPr>
          <m:jc m:val="center"/>
        </m:oMathParaPr>
        <m:oMath>
          <m:sSub>
            <m:e>
              <m:r>
                <m:t>C</m:t>
              </m:r>
            </m:e>
            <m:sub>
              <m:r>
                <m:t>0</m:t>
              </m:r>
            </m:sub>
          </m:sSub>
          <m:r>
            <m:rPr>
              <m:sty m:val="p"/>
            </m:rPr>
            <m:t>=</m:t>
          </m:r>
          <m:sSub>
            <m:e>
              <m:r>
                <m:t>C</m:t>
              </m:r>
            </m:e>
            <m:sub>
              <m:r>
                <m:t>н</m:t>
              </m:r>
            </m:sub>
          </m:sSub>
          <m:sSup>
            <m:e>
              <m:d>
                <m:dPr>
                  <m:begChr m:val="("/>
                  <m:endChr m:val=")"/>
                  <m:sepChr m:val=""/>
                  <m:grow/>
                </m:dPr>
                <m:e>
                  <m:f>
                    <m:fPr>
                      <m:type m:val="bar"/>
                    </m:fPr>
                    <m:num>
                      <m:r>
                        <m:t>m</m:t>
                      </m:r>
                      <m:r>
                        <m:rPr>
                          <m:sty m:val="p"/>
                        </m:rPr>
                        <m:t>⋅</m:t>
                      </m:r>
                      <m:r>
                        <m:t>100</m:t>
                      </m:r>
                    </m:num>
                    <m:den>
                      <m:sSub>
                        <m:e>
                          <m:r>
                            <m:t>C</m:t>
                          </m:r>
                        </m:e>
                        <m:sub>
                          <m:r>
                            <m:t>н</m:t>
                          </m:r>
                        </m:sub>
                      </m:sSub>
                      <m:sSub>
                        <m:e>
                          <m:r>
                            <m:t>ρ</m:t>
                          </m:r>
                        </m:e>
                        <m:sub>
                          <m:r>
                            <m:t>п</m:t>
                          </m:r>
                        </m:sub>
                      </m:sSub>
                      <m:sSub>
                        <m:e>
                          <m:r>
                            <m:t>V</m:t>
                          </m:r>
                        </m:e>
                        <m:sub>
                          <m:r>
                            <m:t>с</m:t>
                          </m:r>
                          <m:r>
                            <m:t>в</m:t>
                          </m:r>
                        </m:sub>
                      </m:sSub>
                    </m:den>
                  </m:f>
                </m:e>
              </m:d>
            </m:e>
            <m:sup>
              <m:r>
                <m:t>0</m:t>
              </m:r>
              <m:r>
                <m:rPr>
                  <m:sty m:val="p"/>
                </m:rPr>
                <m:t>,</m:t>
              </m:r>
              <m:r>
                <m:t>41</m:t>
              </m:r>
            </m:sup>
          </m:sSup>
          <m:r>
            <m:rPr>
              <m:sty m:val="p"/>
            </m:rPr>
            <m:t>=</m:t>
          </m:r>
          <m:r>
            <m:t>0</m:t>
          </m:r>
          <m:r>
            <m:rPr>
              <m:sty m:val="p"/>
            </m:rPr>
            <m:t>,</m:t>
          </m:r>
          <m:r>
            <m:t>62</m:t>
          </m:r>
          <m:r>
            <m:rPr>
              <m:sty m:val="p"/>
            </m:rPr>
            <m:t>,</m:t>
          </m:r>
        </m:oMath>
      </m:oMathPara>
    </w:p>
    <w:p>
      <w:pPr>
        <w:pStyle w:val="FirstParagraph"/>
      </w:pPr>
      <w:r>
        <w:t xml:space="preserve">где:</w:t>
      </w:r>
    </w:p>
    <w:tbl>
      <w:tblPr>
        <w:tblStyle w:val="Table"/>
        <w:tblW w:type="pct" w:w="5000"/>
        <w:tblLook w:firstRow="1" w:lastRow="0" w:firstColumn="0" w:lastColumn="0" w:noHBand="0" w:noVBand="0" w:val="0020"/>
      </w:tblPr>
      <w:tblGrid>
        <w:gridCol w:w="792"/>
        <w:gridCol w:w="5544"/>
        <w:gridCol w:w="1584"/>
      </w:tblGrid>
      <w:tr>
        <w:trPr>
          <w:tblHeader w:val="true"/>
        </w:trPr>
        <w:tc>
          <w:tcPr/>
          <w:p>
            <w:pPr>
              <w:pStyle w:val="Compact"/>
              <w:jc w:val="left"/>
            </w:pPr>
            <m:oMath>
              <m:sSub>
                <m:e>
                  <m:r>
                    <m:t>C</m:t>
                  </m:r>
                </m:e>
                <m:sub>
                  <m:r>
                    <m:t>н</m:t>
                  </m:r>
                </m:sub>
              </m:sSub>
            </m:oMath>
            <w:r>
              <w:t xml:space="preserve"> –</w:t>
            </w:r>
          </w:p>
        </w:tc>
        <w:tc>
          <w:tcPr/>
          <w:p>
            <w:pPr>
              <w:pStyle w:val="Compact"/>
              <w:jc w:val="left"/>
            </w:pPr>
            <w:r>
              <w:t xml:space="preserve">концентрация насыщенных паров</w:t>
            </w:r>
          </w:p>
        </w:tc>
        <w:tc>
          <w:tcPr/>
          <w:p>
            <w:pPr>
              <w:pStyle w:val="Compact"/>
              <w:jc w:val="left"/>
            </w:pPr>
            <m:oMath>
              <m:r>
                <m:t>2</m:t>
              </m:r>
              <m:r>
                <m:rPr>
                  <m:sty m:val="p"/>
                </m:rPr>
                <m:t>,</m:t>
              </m:r>
              <m:r>
                <m:t>73</m:t>
              </m:r>
            </m:oMath>
            <w:r>
              <w:t xml:space="preserve"> % об.</w:t>
            </w:r>
          </w:p>
        </w:tc>
      </w:tr>
      <w:tr>
        <w:tc>
          <w:tcPr/>
          <w:p>
            <w:pPr>
              <w:pStyle w:val="Compact"/>
              <w:jc w:val="left"/>
            </w:pPr>
            <m:oMath>
              <m:r>
                <m:t>m</m:t>
              </m:r>
            </m:oMath>
            <w:r>
              <w:t xml:space="preserve"> –</w:t>
            </w:r>
          </w:p>
        </w:tc>
        <w:tc>
          <w:tcPr/>
          <w:p>
            <w:pPr>
              <w:pStyle w:val="Compact"/>
              <w:jc w:val="left"/>
            </w:pPr>
            <w:r>
              <w:t xml:space="preserve">масса паров ЛВЖ</w:t>
            </w:r>
          </w:p>
        </w:tc>
        <w:tc>
          <w:tcPr/>
          <w:p>
            <w:pPr>
              <w:pStyle w:val="Compact"/>
              <w:jc w:val="left"/>
            </w:pPr>
            <m:oMath>
              <m:r>
                <m:t>6</m:t>
              </m:r>
              <m:r>
                <m:rPr>
                  <m:sty m:val="p"/>
                </m:rPr>
                <m:t>,</m:t>
              </m:r>
              <m:r>
                <m:t>269</m:t>
              </m:r>
              <m:r>
                <m:t> </m:t>
              </m:r>
              <m:r>
                <m:rPr>
                  <m:nor/>
                  <m:sty m:val="p"/>
                </m:rPr>
                <m:t>кг</m:t>
              </m:r>
            </m:oMath>
          </w:p>
        </w:tc>
      </w:tr>
      <w:tr>
        <w:tc>
          <w:tcPr/>
          <w:p>
            <w:pPr>
              <w:pStyle w:val="Compact"/>
              <w:jc w:val="left"/>
            </w:pPr>
            <m:oMath>
              <m:sSub>
                <m:e>
                  <m:r>
                    <m:t>ρ</m:t>
                  </m:r>
                </m:e>
                <m:sub>
                  <m:r>
                    <m:t>п</m:t>
                  </m:r>
                </m:sub>
              </m:sSub>
            </m:oMath>
            <w:r>
              <w:t xml:space="preserve"> –</w:t>
            </w:r>
          </w:p>
        </w:tc>
        <w:tc>
          <w:tcPr/>
          <w:p>
            <w:pPr>
              <w:pStyle w:val="Compact"/>
              <w:jc w:val="left"/>
            </w:pPr>
            <w:r>
              <w:t xml:space="preserve">плотность паров ЛВЖ</w:t>
            </w:r>
          </w:p>
        </w:tc>
        <w:tc>
          <w:tcPr/>
          <w:p>
            <w:pPr>
              <w:pStyle w:val="Compact"/>
              <w:jc w:val="left"/>
            </w:pPr>
            <m:oMath>
              <m:r>
                <m:t>4</m:t>
              </m:r>
              <m:r>
                <m:rPr>
                  <m:sty m:val="p"/>
                </m:rPr>
                <m:t>,</m:t>
              </m:r>
              <m:r>
                <m:t>172</m:t>
              </m:r>
              <m:r>
                <m:t> </m:t>
              </m:r>
              <m:r>
                <m:rPr>
                  <m:nor/>
                  <m:sty m:val="p"/>
                </m:rPr>
                <m:t>кг/м³</m:t>
              </m:r>
            </m:oMath>
          </w:p>
        </w:tc>
      </w:tr>
      <w:tr>
        <w:tc>
          <w:tcPr/>
          <w:p>
            <w:pPr>
              <w:pStyle w:val="Compact"/>
              <w:jc w:val="left"/>
            </w:pPr>
            <m:oMath>
              <m:sSub>
                <m:e>
                  <m:r>
                    <m:t>V</m:t>
                  </m:r>
                </m:e>
                <m:sub>
                  <m:r>
                    <m:t>с</m:t>
                  </m:r>
                  <m:r>
                    <m:t>в</m:t>
                  </m:r>
                </m:sub>
              </m:sSub>
            </m:oMath>
            <w:r>
              <w:t xml:space="preserve"> –</w:t>
            </w:r>
          </w:p>
        </w:tc>
        <w:tc>
          <w:tcPr/>
          <w:p>
            <w:pPr>
              <w:pStyle w:val="Compact"/>
              <w:jc w:val="left"/>
            </w:pPr>
            <w:r>
              <w:t xml:space="preserve">свободный объём помещения</w:t>
            </w:r>
          </w:p>
        </w:tc>
        <w:tc>
          <w:tcPr/>
          <w:p>
            <w:pPr>
              <w:pStyle w:val="Compact"/>
              <w:jc w:val="left"/>
            </w:pPr>
            <m:oMath>
              <m:r>
                <m:t>2048</m:t>
              </m:r>
              <m:r>
                <m:t> </m:t>
              </m:r>
              <m:r>
                <m:rPr>
                  <m:nor/>
                  <m:sty m:val="p"/>
                </m:rPr>
                <m:t>м³</m:t>
              </m:r>
            </m:oMath>
          </w:p>
        </w:tc>
      </w:tr>
    </w:tbl>
    <w:p>
      <w:pPr>
        <w:pStyle w:val="a0"/>
      </w:pPr>
      <w:r>
        <w:t xml:space="preserve">Определение расстояний</w:t>
      </w:r>
      <w:r>
        <w:t xml:space="preserve"> </w:t>
      </w:r>
      <m:oMath>
        <m:sSub>
          <m:e>
            <m:r>
              <m:t>Х</m:t>
            </m:r>
          </m:e>
          <m:sub>
            <m:r>
              <m:t>Н</m:t>
            </m:r>
            <m:r>
              <m:t>К</m:t>
            </m:r>
            <m:r>
              <m:t>П</m:t>
            </m:r>
            <m:r>
              <m:t>Р</m:t>
            </m:r>
          </m:sub>
        </m:sSub>
      </m:oMath>
      <w:r>
        <w:t xml:space="preserve">,</w:t>
      </w:r>
      <w:r>
        <w:t xml:space="preserve"> </w:t>
      </w:r>
      <m:oMath>
        <m:sSub>
          <m:e>
            <m:r>
              <m:t>Y</m:t>
            </m:r>
          </m:e>
          <m:sub>
            <m:r>
              <m:t>Н</m:t>
            </m:r>
            <m:r>
              <m:t>К</m:t>
            </m:r>
            <m:r>
              <m:t>П</m:t>
            </m:r>
            <m:r>
              <m:t>Р</m:t>
            </m:r>
          </m:sub>
        </m:sSub>
      </m:oMath>
      <w:r>
        <w:t xml:space="preserve"> </w:t>
      </w:r>
      <w:r>
        <w:t xml:space="preserve">и</w:t>
      </w:r>
      <w:r>
        <w:t xml:space="preserve"> </w:t>
      </w:r>
      <m:oMath>
        <m:sSub>
          <m:e>
            <m:r>
              <m:t>Z</m:t>
            </m:r>
          </m:e>
          <m:sub>
            <m:r>
              <m:t>Н</m:t>
            </m:r>
            <m:r>
              <m:t>К</m:t>
            </m:r>
            <m:r>
              <m:t>П</m:t>
            </m:r>
            <m:r>
              <m:t>Р</m:t>
            </m:r>
          </m:sub>
        </m:sSub>
      </m:oMath>
      <w:r>
        <w:t xml:space="preserve">:</w:t>
      </w:r>
    </w:p>
    <w:p>
      <w:pPr>
        <w:pStyle w:val="a0"/>
      </w:pPr>
      <m:oMathPara>
        <m:oMathParaPr>
          <m:jc m:val="center"/>
        </m:oMathParaPr>
        <m:oMath>
          <m:sSub>
            <m:e>
              <m:r>
                <m:t>Х</m:t>
              </m:r>
            </m:e>
            <m:sub>
              <m:r>
                <m:t>Н</m:t>
              </m:r>
              <m:r>
                <m:t>К</m:t>
              </m:r>
              <m:r>
                <m:t>П</m:t>
              </m:r>
              <m:r>
                <m:t>Р</m:t>
              </m:r>
            </m:sub>
          </m:sSub>
          <m:r>
            <m:rPr>
              <m:sty m:val="p"/>
            </m:rPr>
            <m:t>=</m:t>
          </m:r>
          <m:sSub>
            <m:e>
              <m:r>
                <m:t>K</m:t>
              </m:r>
            </m:e>
            <m:sub>
              <m:r>
                <m:t>1</m:t>
              </m:r>
            </m:sub>
          </m:sSub>
          <m:r>
            <m:t>L</m:t>
          </m:r>
          <m:sSup>
            <m:e>
              <m:d>
                <m:dPr>
                  <m:begChr m:val="("/>
                  <m:endChr m:val=")"/>
                  <m:sepChr m:val=""/>
                  <m:grow/>
                </m:dPr>
                <m:e>
                  <m:sSub>
                    <m:e>
                      <m:r>
                        <m:t>K</m:t>
                      </m:r>
                    </m:e>
                    <m:sub>
                      <m:r>
                        <m:t>2</m:t>
                      </m:r>
                    </m:sub>
                  </m:sSub>
                  <m:r>
                    <m:rPr>
                      <m:sty m:val="p"/>
                    </m:rPr>
                    <m:t>ln</m:t>
                  </m:r>
                  <m:f>
                    <m:fPr>
                      <m:type m:val="bar"/>
                    </m:fPr>
                    <m:num>
                      <m:r>
                        <m:t>δ</m:t>
                      </m:r>
                      <m:sSub>
                        <m:e>
                          <m:r>
                            <m:t>C</m:t>
                          </m:r>
                        </m:e>
                        <m:sub>
                          <m:r>
                            <m:t>0</m:t>
                          </m:r>
                        </m:sub>
                      </m:sSub>
                    </m:num>
                    <m:den>
                      <m:sSub>
                        <m:e>
                          <m:r>
                            <m:t>C</m:t>
                          </m:r>
                        </m:e>
                        <m:sub>
                          <m:r>
                            <m:t>Н</m:t>
                          </m:r>
                          <m:r>
                            <m:t>К</m:t>
                          </m:r>
                          <m:r>
                            <m:t>П</m:t>
                          </m:r>
                          <m:r>
                            <m:t>Р</m:t>
                          </m:r>
                        </m:sub>
                      </m:sSub>
                    </m:den>
                  </m:f>
                </m:e>
              </m:d>
            </m:e>
            <m:sup>
              <m:r>
                <m:t>0</m:t>
              </m:r>
              <m:r>
                <m:rPr>
                  <m:sty m:val="p"/>
                </m:rPr>
                <m:t>,</m:t>
              </m:r>
              <m:r>
                <m:t>5</m:t>
              </m:r>
            </m:sup>
          </m:sSup>
          <m:r>
            <m:rPr>
              <m:sty m:val="p"/>
            </m:rPr>
            <m:t>=</m:t>
          </m:r>
          <m:r>
            <m:t>0</m:t>
          </m:r>
          <m:r>
            <m:t> </m:t>
          </m:r>
          <m:r>
            <m:rPr>
              <m:nor/>
              <m:sty m:val="p"/>
            </m:rPr>
            <m:t>м</m:t>
          </m:r>
          <m:r>
            <m:rPr>
              <m:sty m:val="p"/>
            </m:rPr>
            <m:t>,</m:t>
          </m:r>
        </m:oMath>
      </m:oMathPara>
    </w:p>
    <w:p>
      <w:pPr>
        <w:pStyle w:val="FirstParagraph"/>
      </w:pPr>
      <m:oMathPara>
        <m:oMathParaPr>
          <m:jc m:val="center"/>
        </m:oMathParaPr>
        <m:oMath>
          <m:sSub>
            <m:e>
              <m:r>
                <m:t>Y</m:t>
              </m:r>
            </m:e>
            <m:sub>
              <m:r>
                <m:t>Н</m:t>
              </m:r>
              <m:r>
                <m:t>К</m:t>
              </m:r>
              <m:r>
                <m:t>П</m:t>
              </m:r>
              <m:r>
                <m:t>Р</m:t>
              </m:r>
            </m:sub>
          </m:sSub>
          <m:r>
            <m:rPr>
              <m:sty m:val="p"/>
            </m:rPr>
            <m:t>=</m:t>
          </m:r>
          <m:sSub>
            <m:e>
              <m:r>
                <m:t>K</m:t>
              </m:r>
            </m:e>
            <m:sub>
              <m:r>
                <m:t>1</m:t>
              </m:r>
            </m:sub>
          </m:sSub>
          <m:r>
            <m:t>S</m:t>
          </m:r>
          <m:sSup>
            <m:e>
              <m:d>
                <m:dPr>
                  <m:begChr m:val="("/>
                  <m:endChr m:val=")"/>
                  <m:sepChr m:val=""/>
                  <m:grow/>
                </m:dPr>
                <m:e>
                  <m:sSub>
                    <m:e>
                      <m:r>
                        <m:t>K</m:t>
                      </m:r>
                    </m:e>
                    <m:sub>
                      <m:r>
                        <m:t>2</m:t>
                      </m:r>
                    </m:sub>
                  </m:sSub>
                  <m:r>
                    <m:rPr>
                      <m:sty m:val="p"/>
                    </m:rPr>
                    <m:t>ln</m:t>
                  </m:r>
                  <m:f>
                    <m:fPr>
                      <m:type m:val="bar"/>
                    </m:fPr>
                    <m:num>
                      <m:r>
                        <m:t>δ</m:t>
                      </m:r>
                      <m:sSub>
                        <m:e>
                          <m:r>
                            <m:t>C</m:t>
                          </m:r>
                        </m:e>
                        <m:sub>
                          <m:r>
                            <m:t>0</m:t>
                          </m:r>
                        </m:sub>
                      </m:sSub>
                    </m:num>
                    <m:den>
                      <m:sSub>
                        <m:e>
                          <m:r>
                            <m:t>C</m:t>
                          </m:r>
                        </m:e>
                        <m:sub>
                          <m:r>
                            <m:t>Н</m:t>
                          </m:r>
                          <m:r>
                            <m:t>К</m:t>
                          </m:r>
                          <m:r>
                            <m:t>П</m:t>
                          </m:r>
                          <m:r>
                            <m:t>Р</m:t>
                          </m:r>
                        </m:sub>
                      </m:sSub>
                    </m:den>
                  </m:f>
                </m:e>
              </m:d>
            </m:e>
            <m:sup>
              <m:r>
                <m:t>0</m:t>
              </m:r>
              <m:r>
                <m:rPr>
                  <m:sty m:val="p"/>
                </m:rPr>
                <m:t>,</m:t>
              </m:r>
              <m:r>
                <m:t>5</m:t>
              </m:r>
            </m:sup>
          </m:sSup>
          <m:r>
            <m:rPr>
              <m:sty m:val="p"/>
            </m:rPr>
            <m:t>=</m:t>
          </m:r>
          <m:r>
            <m:t>0</m:t>
          </m:r>
          <m:r>
            <m:t> </m:t>
          </m:r>
          <m:r>
            <m:rPr>
              <m:nor/>
              <m:sty m:val="p"/>
            </m:rPr>
            <m:t>м</m:t>
          </m:r>
          <m:r>
            <m:rPr>
              <m:sty m:val="p"/>
            </m:rPr>
            <m:t>,</m:t>
          </m:r>
        </m:oMath>
      </m:oMathPara>
    </w:p>
    <w:p>
      <w:pPr>
        <w:pStyle w:val="FirstParagraph"/>
      </w:pPr>
      <m:oMathPara>
        <m:oMathParaPr>
          <m:jc m:val="center"/>
        </m:oMathParaPr>
        <m:oMath>
          <m:sSub>
            <m:e>
              <m:r>
                <m:t>Z</m:t>
              </m:r>
            </m:e>
            <m:sub>
              <m:r>
                <m:t>Н</m:t>
              </m:r>
              <m:r>
                <m:t>К</m:t>
              </m:r>
              <m:r>
                <m:t>П</m:t>
              </m:r>
              <m:r>
                <m:t>Р</m:t>
              </m:r>
            </m:sub>
          </m:sSub>
          <m:r>
            <m:rPr>
              <m:sty m:val="p"/>
            </m:rPr>
            <m:t>=</m:t>
          </m:r>
          <m:sSub>
            <m:e>
              <m:r>
                <m:t>K</m:t>
              </m:r>
            </m:e>
            <m:sub>
              <m:r>
                <m:t>3</m:t>
              </m:r>
            </m:sub>
          </m:sSub>
          <m:r>
            <m:t>H</m:t>
          </m:r>
          <m:sSup>
            <m:e>
              <m:d>
                <m:dPr>
                  <m:begChr m:val="("/>
                  <m:endChr m:val=")"/>
                  <m:sepChr m:val=""/>
                  <m:grow/>
                </m:dPr>
                <m:e>
                  <m:sSub>
                    <m:e>
                      <m:r>
                        <m:t>K</m:t>
                      </m:r>
                    </m:e>
                    <m:sub>
                      <m:r>
                        <m:t>2</m:t>
                      </m:r>
                    </m:sub>
                  </m:sSub>
                  <m:r>
                    <m:rPr>
                      <m:sty m:val="p"/>
                    </m:rPr>
                    <m:t>ln</m:t>
                  </m:r>
                  <m:f>
                    <m:fPr>
                      <m:type m:val="bar"/>
                    </m:fPr>
                    <m:num>
                      <m:r>
                        <m:t>δ</m:t>
                      </m:r>
                      <m:sSub>
                        <m:e>
                          <m:r>
                            <m:t>C</m:t>
                          </m:r>
                        </m:e>
                        <m:sub>
                          <m:r>
                            <m:t>0</m:t>
                          </m:r>
                        </m:sub>
                      </m:sSub>
                    </m:num>
                    <m:den>
                      <m:sSub>
                        <m:e>
                          <m:r>
                            <m:t>C</m:t>
                          </m:r>
                        </m:e>
                        <m:sub>
                          <m:r>
                            <m:t>Н</m:t>
                          </m:r>
                          <m:r>
                            <m:t>К</m:t>
                          </m:r>
                          <m:r>
                            <m:t>П</m:t>
                          </m:r>
                          <m:r>
                            <m:t>Р</m:t>
                          </m:r>
                        </m:sub>
                      </m:sSub>
                    </m:den>
                  </m:f>
                </m:e>
              </m:d>
            </m:e>
            <m:sup>
              <m:r>
                <m:t>0</m:t>
              </m:r>
              <m:r>
                <m:rPr>
                  <m:sty m:val="p"/>
                </m:rPr>
                <m:t>,</m:t>
              </m:r>
              <m:r>
                <m:t>5</m:t>
              </m:r>
            </m:sup>
          </m:sSup>
          <m:r>
            <m:rPr>
              <m:sty m:val="p"/>
            </m:rPr>
            <m:t>=</m:t>
          </m:r>
          <m:r>
            <m:t>0</m:t>
          </m:r>
          <m:r>
            <m:t> </m:t>
          </m:r>
          <m:r>
            <m:rPr>
              <m:nor/>
              <m:sty m:val="p"/>
            </m:rPr>
            <m:t>м</m:t>
          </m:r>
          <m:r>
            <m:rPr>
              <m:sty m:val="p"/>
            </m:rPr>
            <m:t>,</m:t>
          </m:r>
        </m:oMath>
      </m:oMathPara>
    </w:p>
    <w:p>
      <w:pPr>
        <w:pStyle w:val="FirstParagraph"/>
      </w:pPr>
      <w:r>
        <w:t xml:space="preserve">где:</w:t>
      </w:r>
    </w:p>
    <w:tbl>
      <w:tblPr>
        <w:tblStyle w:val="Table"/>
        <w:tblW w:type="pct" w:w="5000"/>
        <w:tblLook w:firstRow="1" w:lastRow="0" w:firstColumn="0" w:lastColumn="0" w:noHBand="0" w:noVBand="0" w:val="0020"/>
      </w:tblPr>
      <w:tblGrid>
        <w:gridCol w:w="792"/>
        <w:gridCol w:w="5544"/>
        <w:gridCol w:w="1584"/>
      </w:tblGrid>
      <w:tr>
        <w:trPr>
          <w:tblHeader w:val="true"/>
        </w:trPr>
        <w:tc>
          <w:tcPr/>
          <w:p>
            <w:pPr>
              <w:pStyle w:val="Compact"/>
              <w:jc w:val="left"/>
            </w:pPr>
            <m:oMath>
              <m:sSub>
                <m:e>
                  <m:r>
                    <m:t>K</m:t>
                  </m:r>
                </m:e>
                <m:sub>
                  <m:r>
                    <m:t>1</m:t>
                  </m:r>
                </m:sub>
              </m:sSub>
            </m:oMath>
            <w:r>
              <w:t xml:space="preserve"> –</w:t>
            </w:r>
          </w:p>
        </w:tc>
        <w:tc>
          <w:tcPr/>
          <w:p>
            <w:pPr>
              <w:pStyle w:val="Compact"/>
              <w:jc w:val="left"/>
            </w:pPr>
            <w:r>
              <w:t xml:space="preserve">коэффициент, принимаемый для паров ЛВЖ равным 1,1958</w:t>
            </w:r>
          </w:p>
        </w:tc>
        <w:tc>
          <w:tcPr/>
          <w:p>
            <w:pPr>
              <w:pStyle w:val="Compact"/>
              <w:jc w:val="left"/>
            </w:pPr>
            <m:oMath>
              <m:r>
                <m:t>1</m:t>
              </m:r>
              <m:r>
                <m:rPr>
                  <m:sty m:val="p"/>
                </m:rPr>
                <m:t>,</m:t>
              </m:r>
              <m:r>
                <m:t>1958</m:t>
              </m:r>
            </m:oMath>
          </w:p>
        </w:tc>
      </w:tr>
      <w:tr>
        <w:tc>
          <w:tcPr/>
          <w:p>
            <w:pPr>
              <w:pStyle w:val="Compact"/>
              <w:jc w:val="left"/>
            </w:pPr>
            <m:oMath>
              <m:sSub>
                <m:e>
                  <m:r>
                    <m:t>K</m:t>
                  </m:r>
                </m:e>
                <m:sub>
                  <m:r>
                    <m:t>2</m:t>
                  </m:r>
                </m:sub>
              </m:sSub>
            </m:oMath>
            <w:r>
              <w:t xml:space="preserve"> –</w:t>
            </w:r>
          </w:p>
        </w:tc>
        <w:tc>
          <w:tcPr/>
          <w:p>
            <w:pPr>
              <w:pStyle w:val="Compact"/>
              <w:jc w:val="left"/>
            </w:pPr>
            <w:r>
              <w:t xml:space="preserve">коэффициент, принимаемый для паров ЛВЖ равным T/3600</w:t>
            </w:r>
          </w:p>
        </w:tc>
        <w:tc>
          <w:tcPr/>
          <w:p>
            <w:pPr>
              <w:pStyle w:val="Compact"/>
              <w:jc w:val="left"/>
            </w:pPr>
            <m:oMath>
              <m:r>
                <m:t>1</m:t>
              </m:r>
            </m:oMath>
          </w:p>
        </w:tc>
      </w:tr>
      <w:tr>
        <w:tc>
          <w:tcPr/>
          <w:p>
            <w:pPr>
              <w:pStyle w:val="Compact"/>
              <w:jc w:val="left"/>
            </w:pPr>
            <m:oMath>
              <m:sSub>
                <m:e>
                  <m:r>
                    <m:t>K</m:t>
                  </m:r>
                </m:e>
                <m:sub>
                  <m:r>
                    <m:t>3</m:t>
                  </m:r>
                </m:sub>
              </m:sSub>
            </m:oMath>
            <w:r>
              <w:t xml:space="preserve"> –</w:t>
            </w:r>
          </w:p>
        </w:tc>
        <w:tc>
          <w:tcPr/>
          <w:p>
            <w:pPr>
              <w:pStyle w:val="Compact"/>
              <w:jc w:val="left"/>
            </w:pPr>
            <w:r>
              <w:t xml:space="preserve">коэффициент, принимаемый равным 0,04714 для паров ЛВЖ при отсутствии подвижности воздушной среды; 0,3536 — для паров ЛВЖ при подвижности воздушной среды</w:t>
            </w:r>
          </w:p>
        </w:tc>
        <w:tc>
          <w:tcPr/>
          <w:p>
            <w:pPr>
              <w:pStyle w:val="Compact"/>
              <w:jc w:val="left"/>
            </w:pPr>
            <m:oMath>
              <m:r>
                <m:t>0</m:t>
              </m:r>
              <m:r>
                <m:rPr>
                  <m:sty m:val="p"/>
                </m:rPr>
                <m:t>,</m:t>
              </m:r>
              <m:r>
                <m:t>04714</m:t>
              </m:r>
            </m:oMath>
          </w:p>
        </w:tc>
      </w:tr>
      <w:tr>
        <w:tc>
          <w:tcPr/>
          <w:p>
            <w:pPr>
              <w:pStyle w:val="Compact"/>
              <w:jc w:val="left"/>
            </w:pPr>
            <m:oMath>
              <m:r>
                <m:t>L</m:t>
              </m:r>
            </m:oMath>
            <w:r>
              <w:t xml:space="preserve"> –</w:t>
            </w:r>
          </w:p>
        </w:tc>
        <w:tc>
          <w:tcPr/>
          <w:p>
            <w:pPr>
              <w:pStyle w:val="Compact"/>
              <w:jc w:val="left"/>
            </w:pPr>
            <w:r>
              <w:t xml:space="preserve">длина помещения</w:t>
            </w:r>
          </w:p>
        </w:tc>
        <w:tc>
          <w:tcPr/>
          <w:p>
            <w:pPr>
              <w:pStyle w:val="Compact"/>
              <w:jc w:val="left"/>
            </w:pPr>
            <m:oMath>
              <m:r>
                <m:t>32</m:t>
              </m:r>
              <m:r>
                <m:t> </m:t>
              </m:r>
              <m:r>
                <m:rPr>
                  <m:nor/>
                  <m:sty m:val="p"/>
                </m:rPr>
                <m:t>м</m:t>
              </m:r>
            </m:oMath>
          </w:p>
        </w:tc>
      </w:tr>
      <w:tr>
        <w:tc>
          <w:tcPr/>
          <w:p>
            <w:pPr>
              <w:pStyle w:val="Compact"/>
              <w:jc w:val="left"/>
            </w:pPr>
            <m:oMath>
              <m:r>
                <m:t>S</m:t>
              </m:r>
            </m:oMath>
            <w:r>
              <w:t xml:space="preserve"> –</w:t>
            </w:r>
          </w:p>
        </w:tc>
        <w:tc>
          <w:tcPr/>
          <w:p>
            <w:pPr>
              <w:pStyle w:val="Compact"/>
              <w:jc w:val="left"/>
            </w:pPr>
            <w:r>
              <w:t xml:space="preserve">ширина помещения</w:t>
            </w:r>
          </w:p>
        </w:tc>
        <w:tc>
          <w:tcPr/>
          <w:p>
            <w:pPr>
              <w:pStyle w:val="Compact"/>
              <w:jc w:val="left"/>
            </w:pPr>
            <m:oMath>
              <m:r>
                <m:t>10</m:t>
              </m:r>
              <m:r>
                <m:t> </m:t>
              </m:r>
              <m:r>
                <m:rPr>
                  <m:nor/>
                  <m:sty m:val="p"/>
                </m:rPr>
                <m:t>м</m:t>
              </m:r>
            </m:oMath>
          </w:p>
        </w:tc>
      </w:tr>
      <w:tr>
        <w:tc>
          <w:tcPr/>
          <w:p>
            <w:pPr>
              <w:pStyle w:val="Compact"/>
              <w:jc w:val="left"/>
            </w:pPr>
            <m:oMath>
              <m:r>
                <m:t>H</m:t>
              </m:r>
            </m:oMath>
            <w:r>
              <w:t xml:space="preserve"> –</w:t>
            </w:r>
          </w:p>
        </w:tc>
        <w:tc>
          <w:tcPr/>
          <w:p>
            <w:pPr>
              <w:pStyle w:val="Compact"/>
              <w:jc w:val="left"/>
            </w:pPr>
            <w:r>
              <w:t xml:space="preserve">высота помещения</w:t>
            </w:r>
          </w:p>
        </w:tc>
        <w:tc>
          <w:tcPr/>
          <w:p>
            <w:pPr>
              <w:pStyle w:val="Compact"/>
              <w:jc w:val="left"/>
            </w:pPr>
            <m:oMath>
              <m:r>
                <m:t>8</m:t>
              </m:r>
              <m:r>
                <m:t> </m:t>
              </m:r>
              <m:r>
                <m:rPr>
                  <m:nor/>
                  <m:sty m:val="p"/>
                </m:rPr>
                <m:t>м</m:t>
              </m:r>
            </m:oMath>
          </w:p>
        </w:tc>
      </w:tr>
      <w:tr>
        <w:tc>
          <w:tcPr/>
          <w:p>
            <w:pPr>
              <w:pStyle w:val="Compact"/>
              <w:jc w:val="left"/>
            </w:pPr>
            <m:oMath>
              <m:r>
                <m:t>δ</m:t>
              </m:r>
            </m:oMath>
            <w:r>
              <w:t xml:space="preserve"> –</w:t>
            </w:r>
          </w:p>
        </w:tc>
        <w:tc>
          <w:tcPr/>
          <w:p>
            <w:pPr>
              <w:pStyle w:val="Compact"/>
              <w:jc w:val="left"/>
            </w:pPr>
            <w:r>
              <w:t xml:space="preserve">допустимые отклонения концентрации при заданном уровне значимости</w:t>
            </w:r>
            <w:r>
              <w:t xml:space="preserve"> </w:t>
            </w:r>
            <m:oMath>
              <m:r>
                <m:t>Q</m:t>
              </m:r>
              <m:d>
                <m:dPr>
                  <m:begChr m:val="("/>
                  <m:endChr m:val=")"/>
                  <m:sepChr m:val=""/>
                  <m:grow/>
                </m:dPr>
                <m:e>
                  <m:r>
                    <m:t>C</m:t>
                  </m:r>
                  <m:r>
                    <m:rPr>
                      <m:sty m:val="p"/>
                    </m:rPr>
                    <m:t>&gt;</m:t>
                  </m:r>
                  <m:bar>
                    <m:barPr>
                      <m:pos m:val="top"/>
                    </m:barPr>
                    <m:e>
                      <m:r>
                        <m:t>C</m:t>
                      </m:r>
                    </m:e>
                  </m:bar>
                </m:e>
              </m:d>
              <m:r>
                <m:rPr>
                  <m:sty m:val="p"/>
                </m:rPr>
                <m:t>=</m:t>
              </m:r>
              <m:r>
                <m:t>0</m:t>
              </m:r>
              <m:r>
                <m:rPr>
                  <m:sty m:val="p"/>
                </m:rPr>
                <m:t>,</m:t>
              </m:r>
              <m:r>
                <m:t>05</m:t>
              </m:r>
            </m:oMath>
          </w:p>
        </w:tc>
        <w:tc>
          <w:tcPr/>
          <w:p>
            <w:pPr>
              <w:pStyle w:val="Compact"/>
              <w:jc w:val="left"/>
            </w:pPr>
            <m:oMath>
              <m:r>
                <m:t>1</m:t>
              </m:r>
              <m:r>
                <m:rPr>
                  <m:sty m:val="p"/>
                </m:rPr>
                <m:t>,</m:t>
              </m:r>
              <m:r>
                <m:t>25</m:t>
              </m:r>
            </m:oMath>
          </w:p>
        </w:tc>
      </w:tr>
    </w:tbl>
    <w:p>
      <w:pPr>
        <w:pStyle w:val="a0"/>
      </w:pPr>
      <w:r>
        <w:t xml:space="preserve">При отрицательных значениях логарифмов расстояния</w:t>
      </w:r>
      <w:r>
        <w:t xml:space="preserve"> </w:t>
      </w:r>
      <m:oMath>
        <m:sSub>
          <m:e>
            <m:r>
              <m:t>Х</m:t>
            </m:r>
          </m:e>
          <m:sub>
            <m:r>
              <m:t>Н</m:t>
            </m:r>
            <m:r>
              <m:t>К</m:t>
            </m:r>
            <m:r>
              <m:t>П</m:t>
            </m:r>
            <m:r>
              <m:t>Р</m:t>
            </m:r>
          </m:sub>
        </m:sSub>
      </m:oMath>
      <w:r>
        <w:t xml:space="preserve">,</w:t>
      </w:r>
      <w:r>
        <w:t xml:space="preserve"> </w:t>
      </w:r>
      <m:oMath>
        <m:sSub>
          <m:e>
            <m:r>
              <m:t>Y</m:t>
            </m:r>
          </m:e>
          <m:sub>
            <m:r>
              <m:t>Н</m:t>
            </m:r>
            <m:r>
              <m:t>К</m:t>
            </m:r>
            <m:r>
              <m:t>П</m:t>
            </m:r>
            <m:r>
              <m:t>Р</m:t>
            </m:r>
          </m:sub>
        </m:sSub>
      </m:oMath>
      <w:r>
        <w:t xml:space="preserve"> </w:t>
      </w:r>
      <w:r>
        <w:t xml:space="preserve">и</w:t>
      </w:r>
      <w:r>
        <w:t xml:space="preserve"> </w:t>
      </w:r>
      <m:oMath>
        <m:sSub>
          <m:e>
            <m:r>
              <m:t>Z</m:t>
            </m:r>
          </m:e>
          <m:sub>
            <m:r>
              <m:t>Н</m:t>
            </m:r>
            <m:r>
              <m:t>К</m:t>
            </m:r>
            <m:r>
              <m:t>П</m:t>
            </m:r>
            <m:r>
              <m:t>Р</m:t>
            </m:r>
          </m:sub>
        </m:sSub>
      </m:oMath>
      <w:r>
        <w:t xml:space="preserve"> </w:t>
      </w:r>
      <w:r>
        <w:t xml:space="preserve">принимаются равными 0.</w:t>
      </w:r>
    </w:p>
    <w:p>
      <w:pPr>
        <w:pStyle w:val="a0"/>
      </w:pPr>
      <w:r>
        <w:t xml:space="preserve">Коэффициент</w:t>
      </w:r>
      <w:r>
        <w:t xml:space="preserve"> </w:t>
      </w:r>
      <m:oMath>
        <m:r>
          <m:t>Z</m:t>
        </m:r>
      </m:oMath>
      <w:r>
        <w:t xml:space="preserve"> </w:t>
      </w:r>
      <w:r>
        <w:t xml:space="preserve">участия в горении паров ЛВЖ при</w:t>
      </w:r>
      <w:r>
        <w:t xml:space="preserve"> </w:t>
      </w:r>
      <m:oMath>
        <m:sSub>
          <m:e>
            <m:r>
              <m:t>X</m:t>
            </m:r>
          </m:e>
          <m:sub>
            <m:r>
              <m:t>Н</m:t>
            </m:r>
            <m:r>
              <m:t>К</m:t>
            </m:r>
            <m:r>
              <m:t>П</m:t>
            </m:r>
            <m:r>
              <m:t>Р</m:t>
            </m:r>
          </m:sub>
        </m:sSub>
        <m:r>
          <m:rPr>
            <m:sty m:val="p"/>
          </m:rPr>
          <m:t>≤</m:t>
        </m:r>
        <m:r>
          <m:t>L</m:t>
        </m:r>
        <m:r>
          <m:rPr>
            <m:sty m:val="p"/>
          </m:rPr>
          <m:t>/</m:t>
        </m:r>
        <m:r>
          <m:t>2</m:t>
        </m:r>
      </m:oMath>
      <w:r>
        <w:t xml:space="preserve"> </w:t>
      </w:r>
      <w:r>
        <w:t xml:space="preserve">и</w:t>
      </w:r>
      <w:r>
        <w:t xml:space="preserve"> </w:t>
      </w:r>
      <m:oMath>
        <m:sSub>
          <m:e>
            <m:r>
              <m:t>Y</m:t>
            </m:r>
          </m:e>
          <m:sub>
            <m:r>
              <m:t>Н</m:t>
            </m:r>
            <m:r>
              <m:t>К</m:t>
            </m:r>
            <m:r>
              <m:t>П</m:t>
            </m:r>
            <m:r>
              <m:t>Р</m:t>
            </m:r>
          </m:sub>
        </m:sSub>
        <m:r>
          <m:rPr>
            <m:sty m:val="p"/>
          </m:rPr>
          <m:t>≤</m:t>
        </m:r>
        <m:r>
          <m:t>S</m:t>
        </m:r>
        <m:r>
          <m:rPr>
            <m:sty m:val="p"/>
          </m:rPr>
          <m:t>/</m:t>
        </m:r>
        <m:r>
          <m:t>2</m:t>
        </m:r>
      </m:oMath>
      <w:r>
        <w:t xml:space="preserve"> </w:t>
      </w:r>
      <w:r>
        <w:t xml:space="preserve">определяется по формуле:</w:t>
      </w:r>
    </w:p>
    <w:p>
      <w:pPr>
        <w:pStyle w:val="a0"/>
      </w:pPr>
      <m:oMathPara>
        <m:oMathParaPr>
          <m:jc m:val="center"/>
        </m:oMathParaPr>
        <m:oMath>
          <m:r>
            <m:t>Z</m:t>
          </m:r>
          <m:r>
            <m:rPr>
              <m:sty m:val="p"/>
            </m:rPr>
            <m:t>=</m:t>
          </m:r>
          <m:f>
            <m:fPr>
              <m:type m:val="bar"/>
            </m:fPr>
            <m:num>
              <m:r>
                <m:t>5</m:t>
              </m:r>
              <m:r>
                <m:rPr>
                  <m:sty m:val="p"/>
                </m:rPr>
                <m:t>⋅</m:t>
              </m:r>
              <m:sSup>
                <m:e>
                  <m:r>
                    <m:t>10</m:t>
                  </m:r>
                </m:e>
                <m:sup>
                  <m:r>
                    <m:rPr>
                      <m:sty m:val="p"/>
                    </m:rPr>
                    <m:t>−</m:t>
                  </m:r>
                  <m:r>
                    <m:t>3</m:t>
                  </m:r>
                </m:sup>
              </m:sSup>
              <m:r>
                <m:t>π</m:t>
              </m:r>
            </m:num>
            <m:den>
              <m:r>
                <m:t>m</m:t>
              </m:r>
            </m:den>
          </m:f>
          <m:sSub>
            <m:e>
              <m:r>
                <m:t>ρ</m:t>
              </m:r>
            </m:e>
            <m:sub>
              <m:r>
                <m:t>п</m:t>
              </m:r>
            </m:sub>
          </m:sSub>
          <m:d>
            <m:dPr>
              <m:begChr m:val="("/>
              <m:endChr m:val=")"/>
              <m:sepChr m:val=""/>
              <m:grow/>
            </m:dPr>
            <m:e>
              <m:sSub>
                <m:e>
                  <m:r>
                    <m:t>C</m:t>
                  </m:r>
                </m:e>
                <m:sub>
                  <m:r>
                    <m:t>0</m:t>
                  </m:r>
                </m:sub>
              </m:sSub>
              <m:r>
                <m:rPr>
                  <m:sty m:val="p"/>
                </m:rPr>
                <m:t>+</m:t>
              </m:r>
              <m:f>
                <m:fPr>
                  <m:type m:val="bar"/>
                </m:fPr>
                <m:num>
                  <m:sSub>
                    <m:e>
                      <m:r>
                        <m:t>C</m:t>
                      </m:r>
                    </m:e>
                    <m:sub>
                      <m:r>
                        <m:t>Н</m:t>
                      </m:r>
                      <m:r>
                        <m:t>К</m:t>
                      </m:r>
                      <m:r>
                        <m:t>П</m:t>
                      </m:r>
                      <m:r>
                        <m:t>Р</m:t>
                      </m:r>
                    </m:sub>
                  </m:sSub>
                </m:num>
                <m:den>
                  <m:r>
                    <m:t>δ</m:t>
                  </m:r>
                </m:den>
              </m:f>
            </m:e>
          </m:d>
          <m:sSub>
            <m:e>
              <m:r>
                <m:t>X</m:t>
              </m:r>
            </m:e>
            <m:sub>
              <m:r>
                <m:t>Н</m:t>
              </m:r>
              <m:r>
                <m:t>К</m:t>
              </m:r>
              <m:r>
                <m:t>П</m:t>
              </m:r>
              <m:r>
                <m:t>Р</m:t>
              </m:r>
            </m:sub>
          </m:sSub>
          <m:sSub>
            <m:e>
              <m:r>
                <m:t>Y</m:t>
              </m:r>
            </m:e>
            <m:sub>
              <m:r>
                <m:t>Н</m:t>
              </m:r>
              <m:r>
                <m:t>К</m:t>
              </m:r>
              <m:r>
                <m:t>П</m:t>
              </m:r>
              <m:r>
                <m:t>Р</m:t>
              </m:r>
            </m:sub>
          </m:sSub>
          <m:sSub>
            <m:e>
              <m:r>
                <m:t>Z</m:t>
              </m:r>
            </m:e>
            <m:sub>
              <m:r>
                <m:t>Н</m:t>
              </m:r>
              <m:r>
                <m:t>К</m:t>
              </m:r>
              <m:r>
                <m:t>П</m:t>
              </m:r>
              <m:r>
                <m:t>Р</m:t>
              </m:r>
            </m:sub>
          </m:sSub>
          <m:r>
            <m:rPr>
              <m:sty m:val="p"/>
            </m:rPr>
            <m:t>=</m:t>
          </m:r>
          <m:r>
            <m:t>0</m:t>
          </m:r>
          <m:r>
            <m:rPr>
              <m:sty m:val="p"/>
            </m:rPr>
            <m:t>.</m:t>
          </m:r>
        </m:oMath>
      </m:oMathPara>
    </w:p>
    <w:p>
      <w:pPr>
        <w:pStyle w:val="FirstParagraph"/>
      </w:pPr>
      <w:r>
        <w:rPr>
          <w:bCs/>
          <w:b/>
        </w:rPr>
        <w:t xml:space="preserve">Расчёт избыточного давления взрыва</w:t>
      </w:r>
    </w:p>
    <w:p>
      <w:pPr>
        <w:pStyle w:val="a0"/>
      </w:pPr>
      <w:r>
        <w:t xml:space="preserve">Так как коэффициент</w:t>
      </w:r>
      <w:r>
        <w:t xml:space="preserve"> </w:t>
      </w:r>
      <m:oMath>
        <m:r>
          <m:t>Z</m:t>
        </m:r>
      </m:oMath>
      <w:r>
        <w:t xml:space="preserve"> </w:t>
      </w:r>
      <w:r>
        <w:t xml:space="preserve">участия в горении паров жидкости равен нулю, возникновение источника зажигания не приведёт к взрыву, и расчётное давление взрыва будет равно нулю.</w:t>
      </w:r>
    </w:p>
    <w:p>
      <w:pPr>
        <w:pStyle w:val="a0"/>
      </w:pPr>
      <w:r>
        <w:rPr>
          <w:bCs/>
          <w:b/>
        </w:rPr>
        <w:t xml:space="preserve">Определение объёма взрывоопасной смеси</w:t>
      </w:r>
    </w:p>
    <w:p>
      <w:pPr>
        <w:pStyle w:val="a0"/>
      </w:pPr>
      <w:r>
        <w:t xml:space="preserve">Так как коэффициент</w:t>
      </w:r>
      <w:r>
        <w:t xml:space="preserve"> </w:t>
      </w:r>
      <m:oMath>
        <m:r>
          <m:t>Z</m:t>
        </m:r>
      </m:oMath>
      <w:r>
        <w:t xml:space="preserve"> </w:t>
      </w:r>
      <w:r>
        <w:t xml:space="preserve">участия в горении паров жидкости равен нулю, взрывоопасная смесь не образуется, её объём принимается равным нулю.</w:t>
      </w:r>
    </w:p>
    <w:bookmarkEnd w:id="63"/>
    <w:bookmarkStart w:id="64" w:name="определение-удельной-пожарной-нагрузки-2"/>
    <w:p>
      <w:pPr>
        <w:pStyle w:val="4"/>
      </w:pPr>
      <w:r>
        <w:t xml:space="preserve">Определение удельной пожарной нагрузки</w:t>
      </w:r>
    </w:p>
    <w:p>
      <w:pPr>
        <w:pStyle w:val="FirstParagraph"/>
      </w:pPr>
      <w:r>
        <w:t xml:space="preserve">Пожарная нагрузка на участке:</w:t>
      </w:r>
    </w:p>
    <w:tbl>
      <w:tblPr>
        <w:tblStyle w:val="Table"/>
        <w:tblW w:type="pct" w:w="5000"/>
        <w:tblLook w:firstRow="1" w:lastRow="0" w:firstColumn="0" w:lastColumn="0" w:noHBand="0" w:noVBand="0" w:val="0020"/>
      </w:tblPr>
      <w:tblGrid>
        <w:gridCol w:w="396"/>
        <w:gridCol w:w="1980"/>
        <w:gridCol w:w="2376"/>
        <w:gridCol w:w="792"/>
        <w:gridCol w:w="1188"/>
        <w:gridCol w:w="1188"/>
      </w:tblGrid>
      <w:tr>
        <w:trPr>
          <w:tblHeader w:val="true"/>
        </w:trPr>
        <w:tc>
          <w:tcPr/>
          <w:p>
            <w:pPr>
              <w:pStyle w:val="Compact"/>
              <w:jc w:val="left"/>
            </w:pPr>
            <w:r>
              <w:t xml:space="preserve">№</w:t>
            </w:r>
          </w:p>
        </w:tc>
        <w:tc>
          <w:tcPr/>
          <w:p>
            <w:pPr>
              <w:pStyle w:val="Compact"/>
              <w:jc w:val="left"/>
            </w:pPr>
            <w:r>
              <w:t xml:space="preserve">Наименование</w:t>
            </w:r>
          </w:p>
        </w:tc>
        <w:tc>
          <w:tcPr/>
          <w:p>
            <w:pPr>
              <w:pStyle w:val="Compact"/>
              <w:jc w:val="left"/>
            </w:pPr>
            <w:r>
              <w:t xml:space="preserve">Горючая нагрузка</w:t>
            </w:r>
          </w:p>
        </w:tc>
        <w:tc>
          <w:tcPr/>
          <w:p>
            <w:pPr>
              <w:pStyle w:val="Compact"/>
              <w:jc w:val="left"/>
            </w:pPr>
            <w:r>
              <w:t xml:space="preserve">Масса</w:t>
            </w:r>
          </w:p>
        </w:tc>
        <w:tc>
          <w:tcPr/>
          <w:p>
            <w:pPr>
              <w:pStyle w:val="Compact"/>
              <w:jc w:val="left"/>
            </w:pPr>
            <w:r>
              <w:t xml:space="preserve">Теплота сгорания</w:t>
            </w:r>
          </w:p>
        </w:tc>
        <w:tc>
          <w:tcPr/>
          <w:p>
            <w:pPr>
              <w:pStyle w:val="Compact"/>
              <w:jc w:val="left"/>
            </w:pPr>
            <w:r>
              <w:t xml:space="preserve">Пожарная нагрузка</w:t>
            </w:r>
          </w:p>
        </w:tc>
      </w:tr>
      <w:tr>
        <w:tc>
          <w:tcPr/>
          <w:p>
            <w:pPr>
              <w:pStyle w:val="Compact"/>
              <w:jc w:val="left"/>
            </w:pPr>
            <w:r>
              <w:t xml:space="preserve">1</w:t>
            </w:r>
          </w:p>
        </w:tc>
        <w:tc>
          <w:tcPr/>
          <w:p>
            <w:pPr>
              <w:pStyle w:val="Compact"/>
              <w:jc w:val="left"/>
            </w:pPr>
            <w:r>
              <w:t xml:space="preserve">Ксилол в баке</w:t>
            </w:r>
          </w:p>
        </w:tc>
        <w:tc>
          <w:tcPr/>
          <w:p>
            <w:pPr>
              <w:pStyle w:val="Compact"/>
              <w:jc w:val="left"/>
            </w:pPr>
            <w:r>
              <w:t xml:space="preserve">Ксилол (смесь изомеров) (ГОСТ 9410-60)</w:t>
            </w:r>
          </w:p>
        </w:tc>
        <w:tc>
          <w:tcPr/>
          <w:p>
            <w:pPr>
              <w:pStyle w:val="Compact"/>
              <w:jc w:val="left"/>
            </w:pPr>
            <w:r>
              <w:t xml:space="preserve">450,991 кг</w:t>
            </w:r>
          </w:p>
        </w:tc>
        <w:tc>
          <w:tcPr/>
          <w:p>
            <w:pPr>
              <w:pStyle w:val="Compact"/>
              <w:jc w:val="left"/>
            </w:pPr>
            <w:r>
              <w:t xml:space="preserve">43,15 МДж/кг</w:t>
            </w:r>
          </w:p>
        </w:tc>
        <w:tc>
          <w:tcPr/>
          <w:p>
            <w:pPr>
              <w:pStyle w:val="Compact"/>
              <w:jc w:val="left"/>
            </w:pPr>
            <w:r>
              <w:t xml:space="preserve">19460,273 МДж</w:t>
            </w:r>
          </w:p>
        </w:tc>
      </w:tr>
    </w:tbl>
    <w:p>
      <w:pPr>
        <w:pStyle w:val="a0"/>
      </w:pPr>
      <w:r>
        <w:t xml:space="preserve">Удельная пожарная нагрузка определяется по формуле:</w:t>
      </w:r>
    </w:p>
    <w:p>
      <w:pPr>
        <w:pStyle w:val="a0"/>
      </w:pPr>
      <m:oMathPara>
        <m:oMathParaPr>
          <m:jc m:val="center"/>
        </m:oMathParaPr>
        <m:oMath>
          <m:r>
            <m:t>g</m:t>
          </m:r>
          <m:r>
            <m:rPr>
              <m:sty m:val="p"/>
            </m:rPr>
            <m:t>=</m:t>
          </m:r>
          <m:r>
            <m:t>Q</m:t>
          </m:r>
          <m:r>
            <m:rPr>
              <m:sty m:val="p"/>
            </m:rPr>
            <m:t>/</m:t>
          </m:r>
          <m:r>
            <m:t>S</m:t>
          </m:r>
          <m:r>
            <m:rPr>
              <m:sty m:val="p"/>
            </m:rPr>
            <m:t>=</m:t>
          </m:r>
          <m:r>
            <m:t>19460</m:t>
          </m:r>
          <m:r>
            <m:rPr>
              <m:sty m:val="p"/>
            </m:rPr>
            <m:t>,</m:t>
          </m:r>
          <m:r>
            <m:t>3</m:t>
          </m:r>
          <m:r>
            <m:rPr>
              <m:sty m:val="p"/>
            </m:rPr>
            <m:t>/</m:t>
          </m:r>
          <m:r>
            <m:t>10</m:t>
          </m:r>
          <m:r>
            <m:rPr>
              <m:sty m:val="p"/>
            </m:rPr>
            <m:t>=</m:t>
          </m:r>
          <m:r>
            <m:t>1946</m:t>
          </m:r>
          <m:r>
            <m:t> </m:t>
          </m:r>
          <m:r>
            <m:rPr>
              <m:nor/>
              <m:sty m:val="p"/>
            </m:rPr>
            <m:t>МДж/м²</m:t>
          </m:r>
          <m:r>
            <m:rPr>
              <m:sty m:val="p"/>
            </m:rPr>
            <m:t>,</m:t>
          </m:r>
        </m:oMath>
      </m:oMathPara>
    </w:p>
    <w:p>
      <w:pPr>
        <w:pStyle w:val="FirstParagraph"/>
      </w:pPr>
      <w:r>
        <w:t xml:space="preserve">где:</w:t>
      </w:r>
    </w:p>
    <w:tbl>
      <w:tblPr>
        <w:tblStyle w:val="Table"/>
        <w:tblW w:type="pct" w:w="5000"/>
        <w:tblLook w:firstRow="1" w:lastRow="0" w:firstColumn="0" w:lastColumn="0" w:noHBand="0" w:noVBand="0" w:val="0020"/>
      </w:tblPr>
      <w:tblGrid>
        <w:gridCol w:w="792"/>
        <w:gridCol w:w="5544"/>
        <w:gridCol w:w="1584"/>
      </w:tblGrid>
      <w:tr>
        <w:trPr>
          <w:tblHeader w:val="true"/>
        </w:trPr>
        <w:tc>
          <w:tcPr/>
          <w:p>
            <w:pPr>
              <w:pStyle w:val="Compact"/>
              <w:jc w:val="left"/>
            </w:pPr>
            <m:oMath>
              <m:r>
                <m:t>Q</m:t>
              </m:r>
              <m:r>
                <m:rPr>
                  <m:sty m:val="p"/>
                </m:rPr>
                <m:t>−</m:t>
              </m:r>
            </m:oMath>
          </w:p>
        </w:tc>
        <w:tc>
          <w:tcPr/>
          <w:p>
            <w:pPr>
              <w:pStyle w:val="Compact"/>
              <w:jc w:val="left"/>
            </w:pPr>
            <w:r>
              <w:t xml:space="preserve">суммарная пожарная нагрузка на участке</w:t>
            </w:r>
          </w:p>
        </w:tc>
        <w:tc>
          <w:tcPr/>
          <w:p>
            <w:pPr>
              <w:pStyle w:val="Compact"/>
              <w:jc w:val="left"/>
            </w:pPr>
            <m:oMath>
              <m:r>
                <m:t>19460</m:t>
              </m:r>
              <m:r>
                <m:rPr>
                  <m:sty m:val="p"/>
                </m:rPr>
                <m:t>,</m:t>
              </m:r>
              <m:r>
                <m:t>3</m:t>
              </m:r>
              <m:r>
                <m:t> </m:t>
              </m:r>
              <m:r>
                <m:rPr>
                  <m:nor/>
                  <m:sty m:val="p"/>
                </m:rPr>
                <m:t>МДж</m:t>
              </m:r>
            </m:oMath>
          </w:p>
        </w:tc>
      </w:tr>
      <w:tr>
        <w:tc>
          <w:tcPr/>
          <w:p>
            <w:pPr>
              <w:pStyle w:val="Compact"/>
              <w:jc w:val="left"/>
            </w:pPr>
            <m:oMath>
              <m:r>
                <m:t>S</m:t>
              </m:r>
              <m:r>
                <m:rPr>
                  <m:sty m:val="p"/>
                </m:rPr>
                <m:t>−</m:t>
              </m:r>
            </m:oMath>
          </w:p>
        </w:tc>
        <w:tc>
          <w:tcPr/>
          <w:p>
            <w:pPr>
              <w:pStyle w:val="Compact"/>
              <w:jc w:val="left"/>
            </w:pPr>
            <w:r>
              <w:t xml:space="preserve">площадь участка (при площади менее 10 м², принимается значение 10 м²)</w:t>
            </w:r>
          </w:p>
        </w:tc>
        <w:tc>
          <w:tcPr/>
          <w:p>
            <w:pPr>
              <w:pStyle w:val="Compact"/>
              <w:jc w:val="left"/>
            </w:pPr>
            <m:oMath>
              <m:r>
                <m:t>10</m:t>
              </m:r>
              <m:r>
                <m:t> </m:t>
              </m:r>
              <m:r>
                <m:rPr>
                  <m:nor/>
                  <m:sty m:val="p"/>
                </m:rPr>
                <m:t>м²</m:t>
              </m:r>
            </m:oMath>
          </w:p>
        </w:tc>
      </w:tr>
    </w:tbl>
    <w:bookmarkEnd w:id="64"/>
    <w:bookmarkStart w:id="65" w:name="проверка-условия-б.5-сп-12-1"/>
    <w:p>
      <w:pPr>
        <w:pStyle w:val="4"/>
      </w:pPr>
      <w:r>
        <w:t xml:space="preserve">Проверка условия (Б.5) СП 12</w:t>
      </w:r>
    </w:p>
    <w:p>
      <w:pPr>
        <w:pStyle w:val="FirstParagraph"/>
      </w:pPr>
      <w:r>
        <w:t xml:space="preserve">Если при определении категорий В2 или В3 количество пожарной нагрузки</w:t>
      </w:r>
      <w:r>
        <w:t xml:space="preserve"> </w:t>
      </w:r>
      <m:oMath>
        <m:r>
          <m:t>Q</m:t>
        </m:r>
      </m:oMath>
      <w:r>
        <w:t xml:space="preserve">, определённое по формуле (Б.2), отвечает неравенству</w:t>
      </w:r>
      <w:r>
        <w:t xml:space="preserve"> </w:t>
      </w:r>
      <m:oMath>
        <m:r>
          <m:t>Q</m:t>
        </m:r>
        <m:r>
          <m:rPr>
            <m:sty m:val="p"/>
          </m:rPr>
          <m:t>≥</m:t>
        </m:r>
        <m:r>
          <m:t>0</m:t>
        </m:r>
        <m:r>
          <m:rPr>
            <m:sty m:val="p"/>
          </m:rPr>
          <m:t>,</m:t>
        </m:r>
        <m:r>
          <m:t>64</m:t>
        </m:r>
        <m:sSub>
          <m:e>
            <m:r>
              <m:t>g</m:t>
            </m:r>
          </m:e>
          <m:sub>
            <m:r>
              <m:t>т</m:t>
            </m:r>
          </m:sub>
        </m:sSub>
        <m:sSup>
          <m:e>
            <m:r>
              <m:t>H</m:t>
            </m:r>
          </m:e>
          <m:sup>
            <m:r>
              <m:t>2</m:t>
            </m:r>
          </m:sup>
        </m:sSup>
      </m:oMath>
      <w:r>
        <w:t xml:space="preserve">, то помещение будет относиться к категориям В1 или В2 соответственно.</w:t>
      </w:r>
    </w:p>
    <w:p>
      <w:pPr>
        <w:pStyle w:val="a0"/>
      </w:pPr>
      <m:oMath>
        <m:r>
          <m:t>Q</m:t>
        </m:r>
        <m:r>
          <m:rPr>
            <m:sty m:val="p"/>
          </m:rPr>
          <m:t>=</m:t>
        </m:r>
        <m:r>
          <m:t>19460</m:t>
        </m:r>
        <m:r>
          <m:rPr>
            <m:sty m:val="p"/>
          </m:rPr>
          <m:t>,</m:t>
        </m:r>
        <m:r>
          <m:t>3</m:t>
        </m:r>
        <m:r>
          <m:t> </m:t>
        </m:r>
        <m:r>
          <m:rPr>
            <m:nor/>
            <m:sty m:val="p"/>
          </m:rPr>
          <m:t>МДж</m:t>
        </m:r>
      </m:oMath>
      <w:r>
        <w:t xml:space="preserve">;</w:t>
      </w:r>
      <w:r>
        <w:t xml:space="preserve"> </w:t>
      </w:r>
      <m:oMath>
        <m:r>
          <m:t>0</m:t>
        </m:r>
        <m:r>
          <m:rPr>
            <m:sty m:val="p"/>
          </m:rPr>
          <m:t>,</m:t>
        </m:r>
        <m:r>
          <m:t>64</m:t>
        </m:r>
        <m:sSub>
          <m:e>
            <m:r>
              <m:t>g</m:t>
            </m:r>
          </m:e>
          <m:sub>
            <m:r>
              <m:t>т</m:t>
            </m:r>
          </m:sub>
        </m:sSub>
        <m:sSup>
          <m:e>
            <m:r>
              <m:t>H</m:t>
            </m:r>
          </m:e>
          <m:sup>
            <m:r>
              <m:t>2</m:t>
            </m:r>
          </m:sup>
        </m:sSup>
        <m:r>
          <m:rPr>
            <m:sty m:val="p"/>
          </m:rPr>
          <m:t>=</m:t>
        </m:r>
        <m:r>
          <m:t>0</m:t>
        </m:r>
        <m:r>
          <m:rPr>
            <m:sty m:val="p"/>
          </m:rPr>
          <m:t>,</m:t>
        </m:r>
        <m:r>
          <m:t>64</m:t>
        </m:r>
        <m:r>
          <m:rPr>
            <m:sty m:val="p"/>
          </m:rPr>
          <m:t>⋅</m:t>
        </m:r>
        <m:r>
          <m:t>2200</m:t>
        </m:r>
        <m:r>
          <m:rPr>
            <m:sty m:val="p"/>
          </m:rPr>
          <m:t>⋅</m:t>
        </m:r>
        <m:sSup>
          <m:e>
            <m:r>
              <m:t>4</m:t>
            </m:r>
          </m:e>
          <m:sup>
            <m:r>
              <m:t>2</m:t>
            </m:r>
          </m:sup>
        </m:sSup>
        <m:r>
          <m:rPr>
            <m:sty m:val="p"/>
          </m:rPr>
          <m:t>=</m:t>
        </m:r>
        <m:r>
          <m:t>22528</m:t>
        </m:r>
      </m:oMath>
      <w:r>
        <w:t xml:space="preserve"> МДж.</w:t>
      </w:r>
    </w:p>
    <w:p>
      <w:pPr>
        <w:pStyle w:val="a0"/>
      </w:pPr>
      <w:r>
        <w:t xml:space="preserve">Условие не выполняется.</w:t>
      </w:r>
    </w:p>
    <w:bookmarkEnd w:id="65"/>
    <w:bookmarkEnd w:id="66"/>
    <w:bookmarkStart w:id="70" w:name="определение-категории-помещения-4"/>
    <w:p>
      <w:pPr>
        <w:pStyle w:val="3"/>
      </w:pPr>
      <w:r>
        <w:t xml:space="preserve">Определение категории помещения</w:t>
      </w:r>
    </w:p>
    <w:p>
      <w:pPr>
        <w:pStyle w:val="FirstParagraph"/>
      </w:pPr>
      <w:r>
        <w:t xml:space="preserve">Рассчитанное избыточное давление взрыва на участках:</w:t>
      </w:r>
    </w:p>
    <w:tbl>
      <w:tblPr>
        <w:tblStyle w:val="Table"/>
        <w:tblW w:type="pct" w:w="5000"/>
        <w:tblLook w:firstRow="1" w:lastRow="0" w:firstColumn="0" w:lastColumn="0" w:noHBand="0" w:noVBand="0" w:val="0020"/>
      </w:tblPr>
      <w:tblGrid>
        <w:gridCol w:w="3960"/>
        <w:gridCol w:w="3960"/>
      </w:tblGrid>
      <w:tr>
        <w:trPr>
          <w:tblHeader w:val="true"/>
        </w:trPr>
        <w:tc>
          <w:tcPr/>
          <w:p>
            <w:pPr>
              <w:pStyle w:val="Compact"/>
              <w:jc w:val="left"/>
            </w:pPr>
            <w:r>
              <w:t xml:space="preserve">Участок</w:t>
            </w:r>
          </w:p>
        </w:tc>
        <w:tc>
          <w:tcPr/>
          <w:p>
            <w:pPr>
              <w:pStyle w:val="Compact"/>
              <w:jc w:val="left"/>
            </w:pPr>
            <w:r>
              <w:t xml:space="preserve">Рассчитанное избыточное давление взрыва</w:t>
            </w:r>
          </w:p>
        </w:tc>
      </w:tr>
      <w:tr>
        <w:tc>
          <w:tcPr/>
          <w:p>
            <w:pPr>
              <w:pStyle w:val="Compact"/>
              <w:jc w:val="left"/>
            </w:pPr>
            <w:r>
              <w:t xml:space="preserve">Участок_03</w:t>
            </w:r>
          </w:p>
        </w:tc>
        <w:tc>
          <w:tcPr/>
          <w:p>
            <w:pPr>
              <w:pStyle w:val="Compact"/>
              <w:jc w:val="left"/>
            </w:pPr>
            <w:r>
              <w:t xml:space="preserve">0 кПа</w:t>
            </w:r>
          </w:p>
        </w:tc>
      </w:tr>
    </w:tbl>
    <w:p>
      <w:pPr>
        <w:pStyle w:val="a0"/>
      </w:pPr>
      <w:r>
        <w:t xml:space="preserve">Расчётные характеристики участков:</w:t>
      </w:r>
    </w:p>
    <w:tbl>
      <w:tblPr>
        <w:tblStyle w:val="Table"/>
        <w:tblW w:type="pct" w:w="5000"/>
        <w:tblLook w:firstRow="1" w:lastRow="0" w:firstColumn="0" w:lastColumn="0" w:noHBand="0" w:noVBand="0" w:val="0020"/>
      </w:tblPr>
      <w:tblGrid>
        <w:gridCol w:w="2639"/>
        <w:gridCol w:w="2639"/>
        <w:gridCol w:w="2639"/>
      </w:tblGrid>
      <w:tr>
        <w:trPr>
          <w:tblHeader w:val="true"/>
        </w:trPr>
        <w:tc>
          <w:tcPr/>
          <w:p>
            <w:pPr>
              <w:pStyle w:val="Compact"/>
              <w:jc w:val="left"/>
            </w:pPr>
            <w:r>
              <w:t xml:space="preserve">Наименование</w:t>
            </w:r>
          </w:p>
        </w:tc>
        <w:tc>
          <w:tcPr/>
          <w:p>
            <w:pPr>
              <w:pStyle w:val="Compact"/>
              <w:jc w:val="left"/>
            </w:pPr>
            <m:oMath>
              <m:r>
                <m:t>g</m:t>
              </m:r>
            </m:oMath>
          </w:p>
        </w:tc>
        <w:tc>
          <w:tcPr/>
          <w:p>
            <w:pPr>
              <w:pStyle w:val="Compact"/>
              <w:jc w:val="left"/>
            </w:pPr>
            <m:oMath>
              <m:r>
                <m:t>Q</m:t>
              </m:r>
              <m:r>
                <m:rPr>
                  <m:sty m:val="p"/>
                </m:rPr>
                <m:t>≥</m:t>
              </m:r>
              <m:r>
                <m:t>0</m:t>
              </m:r>
              <m:r>
                <m:rPr>
                  <m:sty m:val="p"/>
                </m:rPr>
                <m:t>,</m:t>
              </m:r>
              <m:r>
                <m:t>64</m:t>
              </m:r>
              <m:sSub>
                <m:e>
                  <m:r>
                    <m:t>g</m:t>
                  </m:r>
                </m:e>
                <m:sub>
                  <m:r>
                    <m:t>т</m:t>
                  </m:r>
                </m:sub>
              </m:sSub>
              <m:r>
                <m:t>H</m:t>
              </m:r>
              <m:r>
                <m:rPr>
                  <m:sty m:val="p"/>
                </m:rPr>
                <m:t>²</m:t>
              </m:r>
            </m:oMath>
          </w:p>
        </w:tc>
      </w:tr>
      <w:tr>
        <w:tc>
          <w:tcPr/>
          <w:p>
            <w:pPr>
              <w:pStyle w:val="Compact"/>
              <w:jc w:val="left"/>
            </w:pPr>
            <w:r>
              <w:t xml:space="preserve">Участок_03</w:t>
            </w:r>
          </w:p>
        </w:tc>
        <w:tc>
          <w:tcPr/>
          <w:p>
            <w:pPr>
              <w:pStyle w:val="Compact"/>
              <w:jc w:val="left"/>
            </w:pPr>
            <w:r>
              <w:t xml:space="preserve">1946 МДж/м²</w:t>
            </w:r>
          </w:p>
        </w:tc>
        <w:tc>
          <w:tcPr/>
          <w:p>
            <w:pPr>
              <w:pStyle w:val="Compact"/>
              <w:jc w:val="left"/>
            </w:pPr>
            <w:r>
              <w:t xml:space="preserve">Нет</w:t>
            </w:r>
          </w:p>
        </w:tc>
      </w:tr>
    </w:tbl>
    <w:p>
      <w:pPr>
        <w:pStyle w:val="a0"/>
      </w:pPr>
      <w:r>
        <w:t xml:space="preserve">где:</w:t>
      </w:r>
      <w:r>
        <w:t xml:space="preserve"> </w:t>
      </w:r>
      <m:oMath>
        <m:r>
          <m:t>g</m:t>
        </m:r>
      </m:oMath>
      <w:r>
        <w:t xml:space="preserve"> </w:t>
      </w:r>
      <w:r>
        <w:t xml:space="preserve">– удельная пожарная нагрузка на участке, определяемая по формуле (Б.2) СП 12.13130.2009;</w:t>
      </w:r>
    </w:p>
    <w:p>
      <w:pPr>
        <w:pStyle w:val="a0"/>
      </w:pPr>
      <w:r>
        <w:t xml:space="preserve">«</w:t>
      </w:r>
      <m:oMath>
        <m:r>
          <m:t>Q</m:t>
        </m:r>
        <m:r>
          <m:rPr>
            <m:sty m:val="p"/>
          </m:rPr>
          <m:t>≥</m:t>
        </m:r>
        <m:r>
          <m:t>0</m:t>
        </m:r>
        <m:r>
          <m:rPr>
            <m:sty m:val="p"/>
          </m:rPr>
          <m:t>,</m:t>
        </m:r>
        <m:r>
          <m:t>64</m:t>
        </m:r>
        <m:sSub>
          <m:e>
            <m:r>
              <m:t>g</m:t>
            </m:r>
          </m:e>
          <m:sub>
            <m:r>
              <m:t>т</m:t>
            </m:r>
          </m:sub>
        </m:sSub>
        <m:r>
          <m:t>H</m:t>
        </m:r>
        <m:r>
          <m:rPr>
            <m:sty m:val="p"/>
          </m:rPr>
          <m:t>²</m:t>
        </m:r>
      </m:oMath>
      <w:r>
        <w:t xml:space="preserve">» – выполняется ли условие (Б.5) СП 12.13130.2009.</w:t>
      </w:r>
    </w:p>
    <w:p>
      <w:pPr>
        <w:pStyle w:val="a0"/>
      </w:pPr>
      <w:r>
        <w:t xml:space="preserve">В помещении не находятся горючие газы, легковоспламеняющиеся жидкости с температурой вспышки не более 28 °С и (или) вещества и материалы, способные взрываться и гореть при взаимодействии с водой, кислородом воздуха или друг с другом, в таком количестве, что расчётное избыточное давление взрыва в помещении превышает 5 кПа, поэтому помещение не относится к категории А.</w:t>
      </w:r>
    </w:p>
    <w:p>
      <w:pPr>
        <w:pStyle w:val="a0"/>
      </w:pPr>
      <w:r>
        <w:t xml:space="preserve">В помещении не находятся горючие пыли или волокна, легковоспламеняющиеся жидкости с температурой вспышки более 28 °С, горючие жидкости в таком количестве, что могут образовывать взрывоопасные пылевоздушные или паровоздушные смеси, при воспламенении которых развивается расчётное избыточное давление взрыва в помещении, превышающее 5 кПа, поэтому помещение не относится к категории Б.</w:t>
      </w:r>
    </w:p>
    <w:p>
      <w:pPr>
        <w:pStyle w:val="a0"/>
      </w:pPr>
      <w:r>
        <w:t xml:space="preserve">Вывод: согласно п.п. Б.1, Б.2 СП 12.13130.2009, поскольку 1400 &lt; g ≤ 2200 МДж/м² и не выполняется условие</w:t>
      </w:r>
      <w:r>
        <w:t xml:space="preserve"> </w:t>
      </w:r>
      <m:oMath>
        <m:r>
          <m:t>Q</m:t>
        </m:r>
        <m:r>
          <m:rPr>
            <m:sty m:val="p"/>
          </m:rPr>
          <m:t>≥</m:t>
        </m:r>
        <m:r>
          <m:t>0</m:t>
        </m:r>
        <m:r>
          <m:rPr>
            <m:sty m:val="p"/>
          </m:rPr>
          <m:t>,</m:t>
        </m:r>
        <m:r>
          <m:t>64</m:t>
        </m:r>
        <m:sSub>
          <m:e>
            <m:r>
              <m:t>g</m:t>
            </m:r>
          </m:e>
          <m:sub>
            <m:r>
              <m:t>т</m:t>
            </m:r>
          </m:sub>
        </m:sSub>
        <m:r>
          <m:t>H</m:t>
        </m:r>
        <m:r>
          <m:rPr>
            <m:sty m:val="p"/>
          </m:rPr>
          <m:t>²</m:t>
        </m:r>
      </m:oMath>
      <w:r>
        <w:t xml:space="preserve">, помещение относится к категории В2.</w:t>
      </w:r>
    </w:p>
    <w:p>
      <w:pPr>
        <w:pStyle w:val="CaptionedFigure"/>
      </w:pPr>
      <w:r>
        <w:drawing>
          <wp:inline>
            <wp:extent cx="5759999" cy="3839999"/>
            <wp:effectExtent b="0" l="0" r="0" t="0"/>
            <wp:docPr descr="Определение категории помещения" title="" id="68" name="Picture"/>
            <a:graphic>
              <a:graphicData uri="http://schemas.openxmlformats.org/drawingml/2006/picture">
                <pic:pic>
                  <pic:nvPicPr>
                    <pic:cNvPr descr="C:\Users\Надя\AppData\Local\Temp\tmp3B99.tmp" id="69" name="Picture"/>
                    <pic:cNvPicPr>
                      <a:picLocks noChangeArrowheads="1" noChangeAspect="1"/>
                    </pic:cNvPicPr>
                  </pic:nvPicPr>
                  <pic:blipFill>
                    <a:blip r:embed="rId67"/>
                    <a:stretch>
                      <a:fillRect/>
                    </a:stretch>
                  </pic:blipFill>
                  <pic:spPr bwMode="auto">
                    <a:xfrm>
                      <a:off x="0" y="0"/>
                      <a:ext cx="5759999" cy="3839999"/>
                    </a:xfrm>
                    <a:prstGeom prst="rect">
                      <a:avLst/>
                    </a:prstGeom>
                    <a:noFill/>
                    <a:ln w="9525">
                      <a:noFill/>
                      <a:headEnd/>
                      <a:tailEnd/>
                    </a:ln>
                  </pic:spPr>
                </pic:pic>
              </a:graphicData>
            </a:graphic>
          </wp:inline>
        </w:drawing>
      </w:r>
    </w:p>
    <w:p>
      <w:pPr>
        <w:pStyle w:val="ImageCaption"/>
      </w:pPr>
      <w:r>
        <w:t xml:space="preserve">Определение категории помещения</w:t>
      </w:r>
    </w:p>
    <w:bookmarkEnd w:id="70"/>
    <w:bookmarkStart w:id="71" w:name="X9298ea34ae94bda23fbf0319f1dd1faeac8dbb2"/>
    <w:p>
      <w:pPr>
        <w:pStyle w:val="3"/>
      </w:pPr>
      <w:r>
        <w:t xml:space="preserve">Определение класса зоны помещения по ПУЭ</w:t>
      </w:r>
    </w:p>
    <w:p>
      <w:pPr>
        <w:pStyle w:val="FirstParagraph"/>
      </w:pPr>
      <w:r>
        <w:t xml:space="preserve">Согласно п. 7.4.9 ПУЭ, определение границ и класса пожароопасных зон должно производиться технологами совместно с электриками проектной или эксплуатационной организации.</w:t>
      </w:r>
    </w:p>
    <w:p>
      <w:pPr>
        <w:pStyle w:val="a0"/>
      </w:pPr>
      <w:r>
        <w:t xml:space="preserve">Согласно п. 7.4.3 ПУЭ, зоны, расположенные в помещениях, в которых обращаются горючие жидкости с температурой вспышки выше 61 °С,</w:t>
      </w:r>
      <w:r>
        <w:t xml:space="preserve"> </w:t>
      </w:r>
      <w:r>
        <w:rPr>
          <w:bCs/>
          <w:b/>
        </w:rPr>
        <w:t xml:space="preserve">относятся к классу П-I</w:t>
      </w:r>
      <w:r>
        <w:t xml:space="preserve">.</w:t>
      </w:r>
    </w:p>
    <w:bookmarkEnd w:id="71"/>
    <w:bookmarkStart w:id="72" w:name="X9cda504816de652be12de32d79025f6fad3ed7b"/>
    <w:p>
      <w:pPr>
        <w:pStyle w:val="3"/>
      </w:pPr>
      <w:r>
        <w:t xml:space="preserve">Определение класса зоны помещения по ФЗ № 123</w:t>
      </w:r>
    </w:p>
    <w:p>
      <w:pPr>
        <w:pStyle w:val="FirstParagraph"/>
      </w:pPr>
      <w:r>
        <w:t xml:space="preserve">Согласно ст. 18 «Технического регламента о требованиях пожарной безопасности», зоны, расположенные в помещениях, в которых обращаются горючие жидкости с температурой вспышки 61 и более градуса Цельсия,</w:t>
      </w:r>
      <w:r>
        <w:t xml:space="preserve"> </w:t>
      </w:r>
      <w:r>
        <w:rPr>
          <w:bCs/>
          <w:b/>
        </w:rPr>
        <w:t xml:space="preserve">относятся к классу П-I</w:t>
      </w:r>
      <w:r>
        <w:t xml:space="preserve">.</w:t>
      </w:r>
    </w:p>
    <w:bookmarkEnd w:id="72"/>
    <w:bookmarkEnd w:id="73"/>
    <w:bookmarkStart w:id="83" w:name="X2d66596c6890cbfda0083e7710ecf4a783e7dcf"/>
    <w:p>
      <w:pPr>
        <w:pStyle w:val="2"/>
      </w:pPr>
      <w:r>
        <w:t xml:space="preserve">Этаж 2. Помещение «Помещение топливного бака»</w:t>
      </w:r>
    </w:p>
    <w:tbl>
      <w:tblPr>
        <w:tblStyle w:val="Table"/>
        <w:tblW w:type="pct" w:w="5000"/>
        <w:tblLook w:firstRow="1" w:lastRow="0" w:firstColumn="0" w:lastColumn="0" w:noHBand="0" w:noVBand="0" w:val="0020"/>
      </w:tblPr>
      <w:tblGrid>
        <w:gridCol w:w="5544"/>
        <w:gridCol w:w="2376"/>
      </w:tblGrid>
      <w:tr>
        <w:trPr>
          <w:tblHeader w:val="true"/>
        </w:trPr>
        <w:tc>
          <w:tcPr/>
          <w:p>
            <w:pPr>
              <w:pStyle w:val="Compact"/>
              <w:jc w:val="left"/>
            </w:pPr>
            <w:r>
              <w:t xml:space="preserve">Площадь</w:t>
            </w:r>
          </w:p>
        </w:tc>
        <w:tc>
          <w:tcPr/>
          <w:p>
            <w:pPr>
              <w:pStyle w:val="Compact"/>
              <w:jc w:val="left"/>
            </w:pPr>
            <w:r>
              <w:t xml:space="preserve">16 м²</w:t>
            </w:r>
          </w:p>
        </w:tc>
      </w:tr>
      <w:tr>
        <w:tc>
          <w:tcPr/>
          <w:p>
            <w:pPr>
              <w:pStyle w:val="Compact"/>
              <w:jc w:val="left"/>
            </w:pPr>
            <w:r>
              <w:t xml:space="preserve">Длина</w:t>
            </w:r>
          </w:p>
        </w:tc>
        <w:tc>
          <w:tcPr/>
          <w:p>
            <w:pPr>
              <w:pStyle w:val="Compact"/>
              <w:jc w:val="left"/>
            </w:pPr>
            <w:r>
              <w:t xml:space="preserve">4 м</w:t>
            </w:r>
          </w:p>
        </w:tc>
      </w:tr>
      <w:tr>
        <w:tc>
          <w:tcPr/>
          <w:p>
            <w:pPr>
              <w:pStyle w:val="Compact"/>
              <w:jc w:val="left"/>
            </w:pPr>
            <w:r>
              <w:t xml:space="preserve">Ширина</w:t>
            </w:r>
          </w:p>
        </w:tc>
        <w:tc>
          <w:tcPr/>
          <w:p>
            <w:pPr>
              <w:pStyle w:val="Compact"/>
              <w:jc w:val="left"/>
            </w:pPr>
            <w:r>
              <w:t xml:space="preserve">4 м</w:t>
            </w:r>
          </w:p>
        </w:tc>
      </w:tr>
      <w:tr>
        <w:tc>
          <w:tcPr/>
          <w:p>
            <w:pPr>
              <w:pStyle w:val="Compact"/>
              <w:jc w:val="left"/>
            </w:pPr>
            <w:r>
              <w:t xml:space="preserve">Высота</w:t>
            </w:r>
          </w:p>
        </w:tc>
        <w:tc>
          <w:tcPr/>
          <w:p>
            <w:pPr>
              <w:pStyle w:val="Compact"/>
              <w:jc w:val="left"/>
            </w:pPr>
            <w:r>
              <w:t xml:space="preserve">3,6 м</w:t>
            </w:r>
          </w:p>
        </w:tc>
      </w:tr>
      <w:tr>
        <w:tc>
          <w:tcPr/>
          <w:p>
            <w:pPr>
              <w:pStyle w:val="Compact"/>
              <w:jc w:val="left"/>
            </w:pPr>
            <w:r>
              <w:t xml:space="preserve">Уровень нижнего пояса ферм перекрытия (покрытия)</w:t>
            </w:r>
          </w:p>
        </w:tc>
        <w:tc>
          <w:tcPr/>
          <w:p>
            <w:pPr>
              <w:pStyle w:val="Compact"/>
              <w:jc w:val="left"/>
            </w:pPr>
            <w:r>
              <w:t xml:space="preserve">3,6 м</w:t>
            </w:r>
          </w:p>
        </w:tc>
      </w:tr>
      <w:tr>
        <w:tc>
          <w:tcPr/>
          <w:p>
            <w:pPr>
              <w:pStyle w:val="Compact"/>
              <w:jc w:val="left"/>
            </w:pPr>
            <w:r>
              <w:t xml:space="preserve">Расчётная температура воздуха</w:t>
            </w:r>
          </w:p>
        </w:tc>
        <w:tc>
          <w:tcPr/>
          <w:p>
            <w:pPr>
              <w:pStyle w:val="Compact"/>
              <w:jc w:val="left"/>
            </w:pPr>
            <w:r>
              <w:t xml:space="preserve">41 °C</w:t>
            </w:r>
          </w:p>
        </w:tc>
      </w:tr>
      <w:tr>
        <w:tc>
          <w:tcPr/>
          <w:p>
            <w:pPr>
              <w:pStyle w:val="Compact"/>
              <w:jc w:val="left"/>
            </w:pPr>
            <w:r>
              <w:t xml:space="preserve">Имеется автоматическое пожаротушение</w:t>
            </w:r>
          </w:p>
        </w:tc>
        <w:tc>
          <w:tcPr/>
          <w:p>
            <w:pPr>
              <w:pStyle w:val="Compact"/>
              <w:jc w:val="left"/>
            </w:pPr>
            <w:r>
              <w:t xml:space="preserve">нет</w:t>
            </w:r>
          </w:p>
        </w:tc>
      </w:tr>
      <w:tr>
        <w:tc>
          <w:tcPr/>
          <w:p>
            <w:pPr>
              <w:pStyle w:val="Compact"/>
              <w:jc w:val="left"/>
            </w:pPr>
            <w:r>
              <w:t xml:space="preserve">Имеется аварийная вентиляция</w:t>
            </w:r>
          </w:p>
        </w:tc>
        <w:tc>
          <w:tcPr/>
          <w:p>
            <w:pPr>
              <w:pStyle w:val="Compact"/>
              <w:jc w:val="left"/>
            </w:pPr>
            <w:r>
              <w:t xml:space="preserve">нет</w:t>
            </w:r>
          </w:p>
        </w:tc>
      </w:tr>
      <w:tr>
        <w:tc>
          <w:tcPr/>
          <w:p>
            <w:pPr>
              <w:pStyle w:val="Compact"/>
              <w:jc w:val="left"/>
            </w:pPr>
            <w:r>
              <w:t xml:space="preserve">Категория</w:t>
            </w:r>
          </w:p>
        </w:tc>
        <w:tc>
          <w:tcPr/>
          <w:p>
            <w:pPr>
              <w:pStyle w:val="Compact"/>
              <w:jc w:val="left"/>
            </w:pPr>
            <w:r>
              <w:t xml:space="preserve">В1</w:t>
            </w:r>
          </w:p>
        </w:tc>
      </w:tr>
      <w:tr>
        <w:tc>
          <w:tcPr/>
          <w:p>
            <w:pPr>
              <w:pStyle w:val="Compact"/>
              <w:jc w:val="left"/>
            </w:pPr>
            <w:r>
              <w:t xml:space="preserve">Класс зоны по ПУЭ</w:t>
            </w:r>
          </w:p>
        </w:tc>
        <w:tc>
          <w:tcPr/>
          <w:p>
            <w:pPr>
              <w:pStyle w:val="Compact"/>
              <w:jc w:val="left"/>
            </w:pPr>
            <w:r>
              <w:t xml:space="preserve">П-I</w:t>
            </w:r>
          </w:p>
        </w:tc>
      </w:tr>
      <w:tr>
        <w:tc>
          <w:tcPr/>
          <w:p>
            <w:pPr>
              <w:pStyle w:val="Compact"/>
              <w:jc w:val="left"/>
            </w:pPr>
            <w:r>
              <w:t xml:space="preserve">Класс зоны по ФЗ №123</w:t>
            </w:r>
          </w:p>
        </w:tc>
        <w:tc>
          <w:tcPr/>
          <w:p>
            <w:pPr>
              <w:pStyle w:val="Compact"/>
              <w:jc w:val="left"/>
            </w:pPr>
            <w:r>
              <w:t xml:space="preserve">П-I</w:t>
            </w:r>
          </w:p>
        </w:tc>
      </w:tr>
    </w:tbl>
    <w:bookmarkStart w:id="76" w:name="участок-участок_04"/>
    <w:p>
      <w:pPr>
        <w:pStyle w:val="3"/>
      </w:pPr>
      <w:r>
        <w:t xml:space="preserve">Участок «Участок_04»</w:t>
      </w:r>
    </w:p>
    <w:tbl>
      <w:tblPr>
        <w:tblStyle w:val="Table"/>
        <w:tblW w:type="pct" w:w="5000"/>
        <w:tblLook w:firstRow="1" w:lastRow="0" w:firstColumn="0" w:lastColumn="0" w:noHBand="0" w:noVBand="0" w:val="0020"/>
      </w:tblPr>
      <w:tblGrid>
        <w:gridCol w:w="5544"/>
        <w:gridCol w:w="2376"/>
      </w:tblGrid>
      <w:tr>
        <w:trPr>
          <w:tblHeader w:val="true"/>
        </w:trPr>
        <w:tc>
          <w:tcPr/>
          <w:p>
            <w:pPr>
              <w:pStyle w:val="Compact"/>
              <w:jc w:val="left"/>
            </w:pPr>
            <w:r>
              <w:t xml:space="preserve">Площадь</w:t>
            </w:r>
          </w:p>
        </w:tc>
        <w:tc>
          <w:tcPr/>
          <w:p>
            <w:pPr>
              <w:pStyle w:val="Compact"/>
              <w:jc w:val="left"/>
            </w:pPr>
            <w:r>
              <w:t xml:space="preserve">16 м²</w:t>
            </w:r>
          </w:p>
        </w:tc>
      </w:tr>
      <w:tr>
        <w:tc>
          <w:tcPr/>
          <w:p>
            <w:pPr>
              <w:pStyle w:val="Compact"/>
              <w:jc w:val="left"/>
            </w:pPr>
            <w:r>
              <w:t xml:space="preserve">Высота</w:t>
            </w:r>
          </w:p>
        </w:tc>
        <w:tc>
          <w:tcPr/>
          <w:p>
            <w:pPr>
              <w:pStyle w:val="Compact"/>
              <w:jc w:val="left"/>
            </w:pPr>
            <w:r>
              <w:t xml:space="preserve">0 м</w:t>
            </w:r>
          </w:p>
        </w:tc>
      </w:tr>
    </w:tbl>
    <w:bookmarkStart w:id="74" w:name="дизельное-топливо"/>
    <w:p>
      <w:pPr>
        <w:pStyle w:val="4"/>
      </w:pPr>
      <w:r>
        <w:t xml:space="preserve">«Дизельное топливо»</w:t>
      </w:r>
    </w:p>
    <w:p>
      <w:pPr>
        <w:pStyle w:val="FirstParagraph"/>
      </w:pPr>
      <w:r>
        <w:t xml:space="preserve">Свойства горючей нагрузки:</w:t>
      </w:r>
    </w:p>
    <w:tbl>
      <w:tblPr>
        <w:tblStyle w:val="Table"/>
        <w:tblW w:type="pct" w:w="5000"/>
        <w:tblLook w:firstRow="1" w:lastRow="0" w:firstColumn="0" w:lastColumn="0" w:noHBand="0" w:noVBand="0" w:val="0020"/>
      </w:tblPr>
      <w:tblGrid>
        <w:gridCol w:w="5544"/>
        <w:gridCol w:w="2376"/>
      </w:tblGrid>
      <w:tr>
        <w:trPr>
          <w:tblHeader w:val="true"/>
        </w:trPr>
        <w:tc>
          <w:tcPr/>
          <w:p>
            <w:pPr>
              <w:pStyle w:val="Compact"/>
              <w:jc w:val="left"/>
            </w:pPr>
            <w:r>
              <w:t xml:space="preserve">Описание</w:t>
            </w:r>
          </w:p>
        </w:tc>
        <w:tc>
          <w:tcPr/>
          <w:p>
            <w:pPr>
              <w:pStyle w:val="Compact"/>
              <w:jc w:val="left"/>
            </w:pPr>
            <w:r>
              <w:t xml:space="preserve">При определении избыточного давления взрыва в качестве расчетного варианта аварии принимается разгерметизация топливного бака и выход из него и подводящих и отводящих трубопроводов дизельного топлива в объем помещения</w:t>
            </w:r>
          </w:p>
        </w:tc>
      </w:tr>
      <w:tr>
        <w:tc>
          <w:tcPr/>
          <w:p>
            <w:pPr>
              <w:pStyle w:val="Compact"/>
              <w:jc w:val="left"/>
            </w:pPr>
            <w:r>
              <w:t xml:space="preserve">Горючая нагрузка</w:t>
            </w:r>
          </w:p>
        </w:tc>
        <w:tc>
          <w:tcPr/>
          <w:p>
            <w:pPr>
              <w:pStyle w:val="Compact"/>
              <w:jc w:val="left"/>
            </w:pPr>
            <w:r>
              <w:t xml:space="preserve">"Дизельное топливо ""3"" (ГОСТ 305-73)"""</w:t>
            </w:r>
          </w:p>
        </w:tc>
      </w:tr>
      <w:tr>
        <w:tc>
          <w:tcPr/>
          <w:p>
            <w:pPr>
              <w:pStyle w:val="Compact"/>
              <w:jc w:val="left"/>
            </w:pPr>
            <w:r>
              <w:t xml:space="preserve">Возможность образования взрывоопасной смеси</w:t>
            </w:r>
          </w:p>
        </w:tc>
        <w:tc>
          <w:tcPr/>
          <w:p>
            <w:pPr>
              <w:pStyle w:val="Compact"/>
              <w:jc w:val="left"/>
            </w:pPr>
            <w:r>
              <w:t xml:space="preserve">только в результате аварий или неисправностей</w:t>
            </w:r>
          </w:p>
        </w:tc>
      </w:tr>
      <w:tr>
        <w:tc>
          <w:tcPr/>
          <w:p>
            <w:pPr>
              <w:pStyle w:val="Compact"/>
              <w:jc w:val="left"/>
            </w:pPr>
            <w:r>
              <w:t xml:space="preserve">Наличие особенностей, приведённых в п.7.3.42 ПУЭ</w:t>
            </w:r>
          </w:p>
        </w:tc>
        <w:tc>
          <w:tcPr/>
          <w:p>
            <w:pPr>
              <w:pStyle w:val="Compact"/>
              <w:jc w:val="left"/>
            </w:pPr>
            <w:r>
              <w:t xml:space="preserve">нет</w:t>
            </w:r>
          </w:p>
        </w:tc>
      </w:tr>
      <w:tr>
        <w:tc>
          <w:tcPr/>
          <w:p>
            <w:pPr>
              <w:pStyle w:val="Compact"/>
              <w:jc w:val="left"/>
            </w:pPr>
            <w:r>
              <w:t xml:space="preserve">Объём аварийного аппарата</w:t>
            </w:r>
          </w:p>
        </w:tc>
        <w:tc>
          <w:tcPr/>
          <w:p>
            <w:pPr>
              <w:pStyle w:val="Compact"/>
              <w:jc w:val="left"/>
            </w:pPr>
            <w:r>
              <w:t xml:space="preserve">50 м³</w:t>
            </w:r>
          </w:p>
        </w:tc>
      </w:tr>
      <w:tr>
        <w:tc>
          <w:tcPr/>
          <w:p>
            <w:pPr>
              <w:pStyle w:val="Compact"/>
              <w:jc w:val="left"/>
            </w:pPr>
            <w:r>
              <w:t xml:space="preserve">Общий объём горючего вещества во всех аппаратах (рассматривается при определении категории В1-В4)</w:t>
            </w:r>
          </w:p>
        </w:tc>
        <w:tc>
          <w:tcPr/>
          <w:p>
            <w:pPr>
              <w:pStyle w:val="Compact"/>
              <w:jc w:val="left"/>
            </w:pPr>
            <w:r>
              <w:t xml:space="preserve">50 м³</w:t>
            </w:r>
          </w:p>
        </w:tc>
      </w:tr>
      <w:tr>
        <w:tc>
          <w:tcPr/>
          <w:p>
            <w:pPr>
              <w:pStyle w:val="Compact"/>
              <w:jc w:val="left"/>
            </w:pPr>
            <w:r>
              <w:t xml:space="preserve">Температура жидкости</w:t>
            </w:r>
          </w:p>
        </w:tc>
        <w:tc>
          <w:tcPr/>
          <w:p>
            <w:pPr>
              <w:pStyle w:val="Compact"/>
              <w:jc w:val="left"/>
            </w:pPr>
            <w:r>
              <w:t xml:space="preserve">41 °C</w:t>
            </w:r>
          </w:p>
        </w:tc>
      </w:tr>
      <w:tr>
        <w:tc>
          <w:tcPr/>
          <w:p>
            <w:pPr>
              <w:pStyle w:val="Compact"/>
              <w:jc w:val="left"/>
            </w:pPr>
            <w:r>
              <w:t xml:space="preserve">Расчётное время отключения трубопроводов</w:t>
            </w:r>
          </w:p>
        </w:tc>
        <w:tc>
          <w:tcPr/>
          <w:p>
            <w:pPr>
              <w:pStyle w:val="Compact"/>
              <w:jc w:val="left"/>
            </w:pPr>
            <w:r>
              <w:t xml:space="preserve">300 с</w:t>
            </w:r>
          </w:p>
        </w:tc>
      </w:tr>
      <w:tr>
        <w:tc>
          <w:tcPr/>
          <w:p>
            <w:pPr>
              <w:pStyle w:val="Compact"/>
              <w:jc w:val="left"/>
            </w:pPr>
            <w:r>
              <w:t xml:space="preserve">Определение коэффициента Z</w:t>
            </w:r>
          </w:p>
        </w:tc>
        <w:tc>
          <w:tcPr/>
          <w:p>
            <w:pPr>
              <w:pStyle w:val="Compact"/>
              <w:jc w:val="left"/>
            </w:pPr>
            <w:r>
              <w:t xml:space="preserve">по приложению Д</w:t>
            </w:r>
          </w:p>
        </w:tc>
      </w:tr>
    </w:tbl>
    <w:p>
      <w:pPr>
        <w:pStyle w:val="a0"/>
      </w:pPr>
      <w:r>
        <w:t xml:space="preserve">Подводящие трубопроводы</w:t>
      </w:r>
    </w:p>
    <w:tbl>
      <w:tblPr>
        <w:tblStyle w:val="Table"/>
        <w:tblW w:type="pct" w:w="5000"/>
        <w:tblLook w:firstRow="1" w:lastRow="0" w:firstColumn="0" w:lastColumn="0" w:noHBand="0" w:noVBand="0" w:val="0020"/>
      </w:tblPr>
      <w:tblGrid>
        <w:gridCol w:w="1980"/>
        <w:gridCol w:w="1980"/>
        <w:gridCol w:w="1980"/>
        <w:gridCol w:w="1980"/>
      </w:tblGrid>
      <w:tr>
        <w:trPr>
          <w:tblHeader w:val="true"/>
        </w:trPr>
        <w:tc>
          <w:tcPr/>
          <w:p>
            <w:pPr>
              <w:pStyle w:val="Compact"/>
              <w:jc w:val="left"/>
            </w:pPr>
            <w:r>
              <w:t xml:space="preserve">№</w:t>
            </w:r>
          </w:p>
        </w:tc>
        <w:tc>
          <w:tcPr/>
          <w:p>
            <w:pPr>
              <w:pStyle w:val="Compact"/>
              <w:jc w:val="left"/>
            </w:pPr>
            <w:r>
              <w:t xml:space="preserve">Внутренний диаметр, м</w:t>
            </w:r>
          </w:p>
        </w:tc>
        <w:tc>
          <w:tcPr/>
          <w:p>
            <w:pPr>
              <w:pStyle w:val="Compact"/>
              <w:jc w:val="left"/>
            </w:pPr>
            <w:r>
              <w:t xml:space="preserve">Длина, м</w:t>
            </w:r>
          </w:p>
        </w:tc>
        <w:tc>
          <w:tcPr/>
          <w:p>
            <w:pPr>
              <w:pStyle w:val="Compact"/>
              <w:jc w:val="left"/>
            </w:pPr>
            <w:r>
              <w:t xml:space="preserve">Расход жидкости, м³/с</w:t>
            </w:r>
          </w:p>
        </w:tc>
      </w:tr>
      <w:tr>
        <w:tc>
          <w:tcPr/>
          <w:p>
            <w:pPr>
              <w:pStyle w:val="Compact"/>
              <w:jc w:val="left"/>
            </w:pPr>
            <w:r>
              <w:t xml:space="preserve">1</w:t>
            </w:r>
          </w:p>
        </w:tc>
        <w:tc>
          <w:tcPr/>
          <w:p>
            <w:pPr>
              <w:pStyle w:val="Compact"/>
              <w:jc w:val="left"/>
            </w:pPr>
            <w:r>
              <w:t xml:space="preserve">0,057</w:t>
            </w:r>
          </w:p>
        </w:tc>
        <w:tc>
          <w:tcPr/>
          <w:p>
            <w:pPr>
              <w:pStyle w:val="Compact"/>
              <w:jc w:val="left"/>
            </w:pPr>
            <w:r>
              <w:t xml:space="preserve">10</w:t>
            </w:r>
          </w:p>
        </w:tc>
        <w:tc>
          <w:tcPr/>
          <w:p>
            <w:pPr>
              <w:pStyle w:val="Compact"/>
              <w:jc w:val="left"/>
            </w:pPr>
            <w:r>
              <w:t xml:space="preserve">0,0015</w:t>
            </w:r>
          </w:p>
        </w:tc>
      </w:tr>
    </w:tbl>
    <w:p>
      <w:pPr>
        <w:pStyle w:val="a0"/>
      </w:pPr>
      <w:r>
        <w:rPr>
          <w:bCs/>
          <w:b/>
        </w:rPr>
        <w:t xml:space="preserve">Определение объёма жидкости, вышедшей из аппарата при аварии</w:t>
      </w:r>
    </w:p>
    <w:p>
      <w:pPr>
        <w:pStyle w:val="a0"/>
      </w:pPr>
      <w:r>
        <w:t xml:space="preserve">Происходит авария аппарата «Дизельное топливо». Все содержимое аппарата поступает в окружающее пространство, происходит одновременно утечка жидкости из трубопроводов, питающих аппарат по прямому и обратному потокам.</w:t>
      </w:r>
    </w:p>
    <w:p>
      <w:pPr>
        <w:pStyle w:val="a0"/>
      </w:pPr>
      <w:r>
        <w:t xml:space="preserve">Объём жидкости, вышедшей из аппарата, равен объёму аппарата и составляет</w:t>
      </w:r>
      <w:r>
        <w:t xml:space="preserve"> </w:t>
      </w:r>
      <m:oMath>
        <m:r>
          <m:t>50</m:t>
        </m:r>
        <m:r>
          <m:t> </m:t>
        </m:r>
        <m:r>
          <m:rPr>
            <m:nor/>
            <m:sty m:val="p"/>
          </m:rPr>
          <m:t>м³</m:t>
        </m:r>
      </m:oMath>
      <w:r>
        <w:t xml:space="preserve">.</w:t>
      </w:r>
    </w:p>
    <w:p>
      <w:pPr>
        <w:pStyle w:val="a0"/>
      </w:pPr>
      <w:r>
        <w:t xml:space="preserve">Объём жидкости, вышедшей до отключения трубопроводов, определяется по формуле</w:t>
      </w:r>
      <w:r>
        <w:t xml:space="preserve"> </w:t>
      </w:r>
      <m:oMath>
        <m:sSub>
          <m:e>
            <m:r>
              <m:t>V</m:t>
            </m:r>
          </m:e>
          <m:sub>
            <m:r>
              <m:t>1</m:t>
            </m:r>
            <m:r>
              <m:t>т</m:t>
            </m:r>
          </m:sub>
        </m:sSub>
        <m:r>
          <m:rPr>
            <m:sty m:val="p"/>
          </m:rPr>
          <m:t>=</m:t>
        </m:r>
        <m:r>
          <m:rPr>
            <m:sty m:val="p"/>
          </m:rPr>
          <m:t>∑</m:t>
        </m:r>
        <m:r>
          <m:t>q</m:t>
        </m:r>
        <m:r>
          <m:t>T</m:t>
        </m:r>
      </m:oMath>
      <w:r>
        <w:t xml:space="preserve"> </w:t>
      </w:r>
      <w:r>
        <w:t xml:space="preserve">и составляет</w:t>
      </w:r>
      <w:r>
        <w:t xml:space="preserve"> </w:t>
      </w:r>
      <m:oMath>
        <m:r>
          <m:t>0</m:t>
        </m:r>
        <m:r>
          <m:rPr>
            <m:sty m:val="p"/>
          </m:rPr>
          <m:t>,</m:t>
        </m:r>
        <m:r>
          <m:t>45</m:t>
        </m:r>
        <m:r>
          <m:t> </m:t>
        </m:r>
        <m:r>
          <m:rPr>
            <m:nor/>
            <m:sty m:val="p"/>
          </m:rPr>
          <m:t>м³</m:t>
        </m:r>
      </m:oMath>
      <w:r>
        <w:t xml:space="preserve">.</w:t>
      </w:r>
    </w:p>
    <w:p>
      <w:pPr>
        <w:pStyle w:val="a0"/>
      </w:pPr>
      <w:r>
        <w:t xml:space="preserve">Объём жидкости, вышедшей после отключения трубопроводов, определяется по формуле</w:t>
      </w:r>
      <w:r>
        <w:t xml:space="preserve"> </w:t>
      </w:r>
      <m:oMath>
        <m:sSub>
          <m:e>
            <m:r>
              <m:t>V</m:t>
            </m:r>
          </m:e>
          <m:sub>
            <m:r>
              <m:t>2</m:t>
            </m:r>
            <m:r>
              <m:t>т</m:t>
            </m:r>
          </m:sub>
        </m:sSub>
        <m:r>
          <m:rPr>
            <m:sty m:val="p"/>
          </m:rPr>
          <m:t>=</m:t>
        </m:r>
        <m:r>
          <m:t>π</m:t>
        </m:r>
        <m:r>
          <m:rPr>
            <m:sty m:val="p"/>
          </m:rPr>
          <m:t>∑</m:t>
        </m:r>
        <m:d>
          <m:dPr>
            <m:begChr m:val="("/>
            <m:endChr m:val=")"/>
            <m:sepChr m:val=""/>
            <m:grow/>
          </m:dPr>
          <m:e>
            <m:sSup>
              <m:e>
                <m:r>
                  <m:t>r</m:t>
                </m:r>
              </m:e>
              <m:sup>
                <m:r>
                  <m:t>2</m:t>
                </m:r>
              </m:sup>
            </m:sSup>
            <m:r>
              <m:rPr>
                <m:sty m:val="p"/>
              </m:rPr>
              <m:t>⋅</m:t>
            </m:r>
            <m:r>
              <m:t>L</m:t>
            </m:r>
          </m:e>
        </m:d>
      </m:oMath>
      <w:r>
        <w:t xml:space="preserve"> </w:t>
      </w:r>
      <w:r>
        <w:t xml:space="preserve">и составляет</w:t>
      </w:r>
      <w:r>
        <w:t xml:space="preserve"> </w:t>
      </w:r>
      <m:oMath>
        <m:r>
          <m:t>0</m:t>
        </m:r>
        <m:r>
          <m:rPr>
            <m:sty m:val="p"/>
          </m:rPr>
          <m:t>,</m:t>
        </m:r>
        <m:r>
          <m:t>0255</m:t>
        </m:r>
        <m:r>
          <m:t> </m:t>
        </m:r>
        <m:r>
          <m:rPr>
            <m:nor/>
            <m:sty m:val="p"/>
          </m:rPr>
          <m:t>м³</m:t>
        </m:r>
      </m:oMath>
      <w:r>
        <w:t xml:space="preserve">.</w:t>
      </w:r>
    </w:p>
    <w:p>
      <w:pPr>
        <w:pStyle w:val="a0"/>
      </w:pPr>
      <w:r>
        <w:t xml:space="preserve">Таким образом, объём жидкости, поступившей в окружающее пространство из аппарата и трубопроводов, составляет</w:t>
      </w:r>
      <w:r>
        <w:t xml:space="preserve"> </w:t>
      </w:r>
      <m:oMath>
        <m:r>
          <m:t>50</m:t>
        </m:r>
        <m:r>
          <m:rPr>
            <m:sty m:val="p"/>
          </m:rPr>
          <m:t>,</m:t>
        </m:r>
        <m:r>
          <m:t>475518</m:t>
        </m:r>
        <m:r>
          <m:t> </m:t>
        </m:r>
        <m:r>
          <m:rPr>
            <m:nor/>
            <m:sty m:val="p"/>
          </m:rPr>
          <m:t>м³</m:t>
        </m:r>
      </m:oMath>
      <w:r>
        <w:t xml:space="preserve">.</w:t>
      </w:r>
    </w:p>
    <w:p>
      <w:pPr>
        <w:pStyle w:val="a0"/>
      </w:pPr>
      <w:r>
        <w:t xml:space="preserve">При плотности жидкости, равной</w:t>
      </w:r>
      <w:r>
        <w:t xml:space="preserve"> </w:t>
      </w:r>
      <m:oMath>
        <m:r>
          <m:t>804</m:t>
        </m:r>
        <m:r>
          <m:t> </m:t>
        </m:r>
        <m:r>
          <m:rPr>
            <m:nor/>
            <m:sty m:val="p"/>
          </m:rPr>
          <m:t>кг/м³</m:t>
        </m:r>
      </m:oMath>
      <w:r>
        <w:t xml:space="preserve">, масса жидкости, вышедшей из аварийного аппарата и трубопроводов, составляет</w:t>
      </w:r>
      <w:r>
        <w:t xml:space="preserve"> </w:t>
      </w:r>
      <m:oMath>
        <m:r>
          <m:t>40582</m:t>
        </m:r>
        <m:r>
          <m:rPr>
            <m:sty m:val="p"/>
          </m:rPr>
          <m:t>,</m:t>
        </m:r>
        <m:r>
          <m:t>316</m:t>
        </m:r>
        <m:r>
          <m:t> </m:t>
        </m:r>
        <m:r>
          <m:rPr>
            <m:nor/>
            <m:sty m:val="p"/>
          </m:rPr>
          <m:t>кг</m:t>
        </m:r>
      </m:oMath>
      <w:r>
        <w:t xml:space="preserve">.</w:t>
      </w:r>
    </w:p>
    <w:p>
      <w:pPr>
        <w:pStyle w:val="a0"/>
      </w:pPr>
      <w:r>
        <w:t xml:space="preserve">Полная масса горючей нагрузки, учитываемая при расчёте категории В1-В4:</w:t>
      </w:r>
      <w:r>
        <w:t xml:space="preserve"> </w:t>
      </w:r>
      <m:oMath>
        <m:d>
          <m:dPr>
            <m:begChr m:val="("/>
            <m:endChr m:val=")"/>
            <m:sepChr m:val=""/>
            <m:grow/>
          </m:dPr>
          <m:e>
            <m:r>
              <m:t>50</m:t>
            </m:r>
            <m:r>
              <m:rPr>
                <m:sty m:val="p"/>
              </m:rPr>
              <m:t>+</m:t>
            </m:r>
            <m:r>
              <m:t>0</m:t>
            </m:r>
            <m:r>
              <m:rPr>
                <m:sty m:val="p"/>
              </m:rPr>
              <m:t>,</m:t>
            </m:r>
            <m:r>
              <m:t>45</m:t>
            </m:r>
            <m:r>
              <m:rPr>
                <m:sty m:val="p"/>
              </m:rPr>
              <m:t>+</m:t>
            </m:r>
            <m:r>
              <m:t>0</m:t>
            </m:r>
            <m:r>
              <m:rPr>
                <m:sty m:val="p"/>
              </m:rPr>
              <m:t>,</m:t>
            </m:r>
            <m:r>
              <m:t>0255</m:t>
            </m:r>
          </m:e>
        </m:d>
        <m:r>
          <m:rPr>
            <m:sty m:val="p"/>
          </m:rPr>
          <m:t>⋅</m:t>
        </m:r>
        <m:r>
          <m:t>804</m:t>
        </m:r>
        <m:r>
          <m:rPr>
            <m:sty m:val="p"/>
          </m:rPr>
          <m:t>=</m:t>
        </m:r>
        <m:r>
          <m:t>40582</m:t>
        </m:r>
        <m:r>
          <m:rPr>
            <m:sty m:val="p"/>
          </m:rPr>
          <m:t>,</m:t>
        </m:r>
        <m:r>
          <m:t>316</m:t>
        </m:r>
        <m:r>
          <m:t> </m:t>
        </m:r>
        <m:r>
          <m:rPr>
            <m:nor/>
            <m:sty m:val="p"/>
          </m:rPr>
          <m:t>кг</m:t>
        </m:r>
      </m:oMath>
      <w:r>
        <w:t xml:space="preserve">.</w:t>
      </w:r>
    </w:p>
    <w:p>
      <w:pPr>
        <w:pStyle w:val="a0"/>
      </w:pPr>
      <w:r>
        <w:t xml:space="preserve">Площадь разлива жидкости при аварии ограничена площадью помещения и составляет</w:t>
      </w:r>
      <w:r>
        <w:t xml:space="preserve"> </w:t>
      </w:r>
      <m:oMath>
        <m:r>
          <m:t>16</m:t>
        </m:r>
        <m:r>
          <m:t> </m:t>
        </m:r>
        <m:r>
          <m:rPr>
            <m:nor/>
            <m:sty m:val="p"/>
          </m:rPr>
          <m:t>м²</m:t>
        </m:r>
      </m:oMath>
      <w:r>
        <w:t xml:space="preserve">.</w:t>
      </w:r>
    </w:p>
    <w:p>
      <w:pPr>
        <w:pStyle w:val="a0"/>
      </w:pPr>
      <w:r>
        <w:rPr>
          <w:bCs/>
          <w:b/>
        </w:rPr>
        <w:t xml:space="preserve">Расчёт коэффициента Z участия в горении паров жидкости</w:t>
      </w:r>
    </w:p>
    <w:p>
      <w:pPr>
        <w:pStyle w:val="a0"/>
      </w:pPr>
      <w:r>
        <w:t xml:space="preserve">Жидкость нагрета ниже температуры вспышки.</w:t>
      </w:r>
    </w:p>
    <w:p>
      <w:pPr>
        <w:pStyle w:val="a0"/>
      </w:pPr>
      <w:r>
        <w:t xml:space="preserve">Коэффициент</w:t>
      </w:r>
      <w:r>
        <w:t xml:space="preserve"> </w:t>
      </w:r>
      <m:oMath>
        <m:r>
          <m:t>Z</m:t>
        </m:r>
      </m:oMath>
      <w:r>
        <w:t xml:space="preserve"> </w:t>
      </w:r>
      <w:r>
        <w:t xml:space="preserve">принимается по таблице А.1 СП 12:</w:t>
      </w:r>
      <w:r>
        <w:t xml:space="preserve"> </w:t>
      </w:r>
      <m:oMath>
        <m:r>
          <m:t>Z</m:t>
        </m:r>
        <m:r>
          <m:rPr>
            <m:sty m:val="p"/>
          </m:rPr>
          <m:t>=</m:t>
        </m:r>
        <m:r>
          <m:t>0</m:t>
        </m:r>
      </m:oMath>
      <w:r>
        <w:t xml:space="preserve">.</w:t>
      </w:r>
    </w:p>
    <w:p>
      <w:pPr>
        <w:pStyle w:val="a0"/>
      </w:pPr>
      <w:r>
        <w:rPr>
          <w:bCs/>
          <w:b/>
        </w:rPr>
        <w:t xml:space="preserve">Расчёт избыточного давления взрыва</w:t>
      </w:r>
    </w:p>
    <w:p>
      <w:pPr>
        <w:pStyle w:val="a0"/>
      </w:pPr>
      <w:r>
        <w:t xml:space="preserve">Так как коэффициент</w:t>
      </w:r>
      <w:r>
        <w:t xml:space="preserve"> </w:t>
      </w:r>
      <m:oMath>
        <m:r>
          <m:t>Z</m:t>
        </m:r>
      </m:oMath>
      <w:r>
        <w:t xml:space="preserve"> </w:t>
      </w:r>
      <w:r>
        <w:t xml:space="preserve">участия в горении паров жидкости равен нулю, возникновение источника зажигания не приведёт к взрыву, и расчётное давление взрыва будет равно нулю.</w:t>
      </w:r>
    </w:p>
    <w:p>
      <w:pPr>
        <w:pStyle w:val="a0"/>
      </w:pPr>
      <w:r>
        <w:rPr>
          <w:bCs/>
          <w:b/>
        </w:rPr>
        <w:t xml:space="preserve">Определение объёма взрывоопасной смеси</w:t>
      </w:r>
    </w:p>
    <w:p>
      <w:pPr>
        <w:pStyle w:val="a0"/>
      </w:pPr>
      <w:r>
        <w:t xml:space="preserve">Так как коэффициент</w:t>
      </w:r>
      <w:r>
        <w:t xml:space="preserve"> </w:t>
      </w:r>
      <m:oMath>
        <m:r>
          <m:t>Z</m:t>
        </m:r>
      </m:oMath>
      <w:r>
        <w:t xml:space="preserve"> </w:t>
      </w:r>
      <w:r>
        <w:t xml:space="preserve">участия в горении паров жидкости равен нулю, взрывоопасная смесь не образуется, её объём принимается равным нулю.</w:t>
      </w:r>
    </w:p>
    <w:bookmarkEnd w:id="74"/>
    <w:bookmarkStart w:id="75" w:name="определение-удельной-пожарной-нагрузки-3"/>
    <w:p>
      <w:pPr>
        <w:pStyle w:val="4"/>
      </w:pPr>
      <w:r>
        <w:t xml:space="preserve">Определение удельной пожарной нагрузки</w:t>
      </w:r>
    </w:p>
    <w:p>
      <w:pPr>
        <w:pStyle w:val="FirstParagraph"/>
      </w:pPr>
      <w:r>
        <w:t xml:space="preserve">Пожарная нагрузка на участке:</w:t>
      </w:r>
    </w:p>
    <w:tbl>
      <w:tblPr>
        <w:tblStyle w:val="Table"/>
        <w:tblW w:type="pct" w:w="5000"/>
        <w:tblLook w:firstRow="1" w:lastRow="0" w:firstColumn="0" w:lastColumn="0" w:noHBand="0" w:noVBand="0" w:val="0020"/>
      </w:tblPr>
      <w:tblGrid>
        <w:gridCol w:w="396"/>
        <w:gridCol w:w="1980"/>
        <w:gridCol w:w="2376"/>
        <w:gridCol w:w="792"/>
        <w:gridCol w:w="1188"/>
        <w:gridCol w:w="1188"/>
      </w:tblGrid>
      <w:tr>
        <w:trPr>
          <w:tblHeader w:val="true"/>
        </w:trPr>
        <w:tc>
          <w:tcPr/>
          <w:p>
            <w:pPr>
              <w:pStyle w:val="Compact"/>
              <w:jc w:val="left"/>
            </w:pPr>
            <w:r>
              <w:t xml:space="preserve">№</w:t>
            </w:r>
          </w:p>
        </w:tc>
        <w:tc>
          <w:tcPr/>
          <w:p>
            <w:pPr>
              <w:pStyle w:val="Compact"/>
              <w:jc w:val="left"/>
            </w:pPr>
            <w:r>
              <w:t xml:space="preserve">Наименование</w:t>
            </w:r>
          </w:p>
        </w:tc>
        <w:tc>
          <w:tcPr/>
          <w:p>
            <w:pPr>
              <w:pStyle w:val="Compact"/>
              <w:jc w:val="left"/>
            </w:pPr>
            <w:r>
              <w:t xml:space="preserve">Горючая нагрузка</w:t>
            </w:r>
          </w:p>
        </w:tc>
        <w:tc>
          <w:tcPr/>
          <w:p>
            <w:pPr>
              <w:pStyle w:val="Compact"/>
              <w:jc w:val="left"/>
            </w:pPr>
            <w:r>
              <w:t xml:space="preserve">Масса</w:t>
            </w:r>
          </w:p>
        </w:tc>
        <w:tc>
          <w:tcPr/>
          <w:p>
            <w:pPr>
              <w:pStyle w:val="Compact"/>
              <w:jc w:val="left"/>
            </w:pPr>
            <w:r>
              <w:t xml:space="preserve">Теплота сгорания</w:t>
            </w:r>
          </w:p>
        </w:tc>
        <w:tc>
          <w:tcPr/>
          <w:p>
            <w:pPr>
              <w:pStyle w:val="Compact"/>
              <w:jc w:val="left"/>
            </w:pPr>
            <w:r>
              <w:t xml:space="preserve">Пожарная нагрузка</w:t>
            </w:r>
          </w:p>
        </w:tc>
      </w:tr>
      <w:tr>
        <w:tc>
          <w:tcPr/>
          <w:p>
            <w:pPr>
              <w:pStyle w:val="Compact"/>
              <w:jc w:val="left"/>
            </w:pPr>
            <w:r>
              <w:t xml:space="preserve">1</w:t>
            </w:r>
          </w:p>
        </w:tc>
        <w:tc>
          <w:tcPr/>
          <w:p>
            <w:pPr>
              <w:pStyle w:val="Compact"/>
              <w:jc w:val="left"/>
            </w:pPr>
            <w:r>
              <w:t xml:space="preserve">Дизельное топливо</w:t>
            </w:r>
          </w:p>
        </w:tc>
        <w:tc>
          <w:tcPr/>
          <w:p>
            <w:pPr>
              <w:pStyle w:val="Compact"/>
              <w:jc w:val="left"/>
            </w:pPr>
            <w:r>
              <w:t xml:space="preserve">"Дизельное топливо ""3"" (ГОСТ 305-73)"""</w:t>
            </w:r>
          </w:p>
        </w:tc>
        <w:tc>
          <w:tcPr/>
          <w:p>
            <w:pPr>
              <w:pStyle w:val="Compact"/>
              <w:jc w:val="left"/>
            </w:pPr>
            <w:r>
              <w:t xml:space="preserve">40582,316 кг</w:t>
            </w:r>
          </w:p>
        </w:tc>
        <w:tc>
          <w:tcPr/>
          <w:p>
            <w:pPr>
              <w:pStyle w:val="Compact"/>
              <w:jc w:val="left"/>
            </w:pPr>
            <w:r>
              <w:t xml:space="preserve">43,59 МДж/кг</w:t>
            </w:r>
          </w:p>
        </w:tc>
        <w:tc>
          <w:tcPr/>
          <w:p>
            <w:pPr>
              <w:pStyle w:val="Compact"/>
              <w:jc w:val="left"/>
            </w:pPr>
            <w:r>
              <w:t xml:space="preserve">1768983,163 МДж</w:t>
            </w:r>
          </w:p>
        </w:tc>
      </w:tr>
    </w:tbl>
    <w:p>
      <w:pPr>
        <w:pStyle w:val="a0"/>
      </w:pPr>
      <w:r>
        <w:t xml:space="preserve">Удельная пожарная нагрузка определяется по формуле:</w:t>
      </w:r>
    </w:p>
    <w:p>
      <w:pPr>
        <w:pStyle w:val="a0"/>
      </w:pPr>
      <m:oMathPara>
        <m:oMathParaPr>
          <m:jc m:val="center"/>
        </m:oMathParaPr>
        <m:oMath>
          <m:r>
            <m:t>g</m:t>
          </m:r>
          <m:r>
            <m:rPr>
              <m:sty m:val="p"/>
            </m:rPr>
            <m:t>=</m:t>
          </m:r>
          <m:r>
            <m:t>Q</m:t>
          </m:r>
          <m:r>
            <m:rPr>
              <m:sty m:val="p"/>
            </m:rPr>
            <m:t>/</m:t>
          </m:r>
          <m:r>
            <m:t>S</m:t>
          </m:r>
          <m:r>
            <m:rPr>
              <m:sty m:val="p"/>
            </m:rPr>
            <m:t>=</m:t>
          </m:r>
          <m:r>
            <m:t>1768983</m:t>
          </m:r>
          <m:r>
            <m:rPr>
              <m:sty m:val="p"/>
            </m:rPr>
            <m:t>,</m:t>
          </m:r>
          <m:r>
            <m:t>2</m:t>
          </m:r>
          <m:r>
            <m:rPr>
              <m:sty m:val="p"/>
            </m:rPr>
            <m:t>/</m:t>
          </m:r>
          <m:r>
            <m:t>16</m:t>
          </m:r>
          <m:r>
            <m:rPr>
              <m:sty m:val="p"/>
            </m:rPr>
            <m:t>=</m:t>
          </m:r>
          <m:r>
            <m:t>110561</m:t>
          </m:r>
          <m:r>
            <m:rPr>
              <m:sty m:val="p"/>
            </m:rPr>
            <m:t>,</m:t>
          </m:r>
          <m:r>
            <m:t>4</m:t>
          </m:r>
          <m:r>
            <m:t> </m:t>
          </m:r>
          <m:r>
            <m:rPr>
              <m:nor/>
              <m:sty m:val="p"/>
            </m:rPr>
            <m:t>МДж/м²</m:t>
          </m:r>
          <m:r>
            <m:rPr>
              <m:sty m:val="p"/>
            </m:rPr>
            <m:t>,</m:t>
          </m:r>
        </m:oMath>
      </m:oMathPara>
    </w:p>
    <w:p>
      <w:pPr>
        <w:pStyle w:val="FirstParagraph"/>
      </w:pPr>
      <w:r>
        <w:t xml:space="preserve">где:</w:t>
      </w:r>
    </w:p>
    <w:tbl>
      <w:tblPr>
        <w:tblStyle w:val="Table"/>
        <w:tblW w:type="pct" w:w="5000"/>
        <w:tblLook w:firstRow="1" w:lastRow="0" w:firstColumn="0" w:lastColumn="0" w:noHBand="0" w:noVBand="0" w:val="0020"/>
      </w:tblPr>
      <w:tblGrid>
        <w:gridCol w:w="792"/>
        <w:gridCol w:w="5544"/>
        <w:gridCol w:w="1584"/>
      </w:tblGrid>
      <w:tr>
        <w:trPr>
          <w:tblHeader w:val="true"/>
        </w:trPr>
        <w:tc>
          <w:tcPr/>
          <w:p>
            <w:pPr>
              <w:pStyle w:val="Compact"/>
              <w:jc w:val="left"/>
            </w:pPr>
            <m:oMath>
              <m:r>
                <m:t>Q</m:t>
              </m:r>
              <m:r>
                <m:rPr>
                  <m:sty m:val="p"/>
                </m:rPr>
                <m:t>−</m:t>
              </m:r>
            </m:oMath>
          </w:p>
        </w:tc>
        <w:tc>
          <w:tcPr/>
          <w:p>
            <w:pPr>
              <w:pStyle w:val="Compact"/>
              <w:jc w:val="left"/>
            </w:pPr>
            <w:r>
              <w:t xml:space="preserve">суммарная пожарная нагрузка на участке</w:t>
            </w:r>
          </w:p>
        </w:tc>
        <w:tc>
          <w:tcPr/>
          <w:p>
            <w:pPr>
              <w:pStyle w:val="Compact"/>
              <w:jc w:val="left"/>
            </w:pPr>
            <m:oMath>
              <m:r>
                <m:t>1768983</m:t>
              </m:r>
              <m:r>
                <m:rPr>
                  <m:sty m:val="p"/>
                </m:rPr>
                <m:t>,</m:t>
              </m:r>
              <m:r>
                <m:t>2</m:t>
              </m:r>
              <m:r>
                <m:t> </m:t>
              </m:r>
              <m:r>
                <m:rPr>
                  <m:nor/>
                  <m:sty m:val="p"/>
                </m:rPr>
                <m:t>МДж</m:t>
              </m:r>
            </m:oMath>
          </w:p>
        </w:tc>
      </w:tr>
      <w:tr>
        <w:tc>
          <w:tcPr/>
          <w:p>
            <w:pPr>
              <w:pStyle w:val="Compact"/>
              <w:jc w:val="left"/>
            </w:pPr>
            <m:oMath>
              <m:r>
                <m:t>S</m:t>
              </m:r>
              <m:r>
                <m:rPr>
                  <m:sty m:val="p"/>
                </m:rPr>
                <m:t>−</m:t>
              </m:r>
            </m:oMath>
          </w:p>
        </w:tc>
        <w:tc>
          <w:tcPr/>
          <w:p>
            <w:pPr>
              <w:pStyle w:val="Compact"/>
              <w:jc w:val="left"/>
            </w:pPr>
            <w:r>
              <w:t xml:space="preserve">площадь участка</w:t>
            </w:r>
          </w:p>
        </w:tc>
        <w:tc>
          <w:tcPr/>
          <w:p>
            <w:pPr>
              <w:pStyle w:val="Compact"/>
              <w:jc w:val="left"/>
            </w:pPr>
            <m:oMath>
              <m:r>
                <m:t>16</m:t>
              </m:r>
              <m:r>
                <m:t> </m:t>
              </m:r>
              <m:r>
                <m:rPr>
                  <m:nor/>
                  <m:sty m:val="p"/>
                </m:rPr>
                <m:t>м²</m:t>
              </m:r>
            </m:oMath>
          </w:p>
        </w:tc>
      </w:tr>
    </w:tbl>
    <w:bookmarkEnd w:id="75"/>
    <w:bookmarkEnd w:id="76"/>
    <w:bookmarkStart w:id="80" w:name="определение-категории-помещения-5"/>
    <w:p>
      <w:pPr>
        <w:pStyle w:val="3"/>
      </w:pPr>
      <w:r>
        <w:t xml:space="preserve">Определение категории помещения</w:t>
      </w:r>
    </w:p>
    <w:p>
      <w:pPr>
        <w:pStyle w:val="FirstParagraph"/>
      </w:pPr>
      <w:r>
        <w:t xml:space="preserve">Рассчитанное избыточное давление взрыва на участках:</w:t>
      </w:r>
    </w:p>
    <w:tbl>
      <w:tblPr>
        <w:tblStyle w:val="Table"/>
        <w:tblW w:type="pct" w:w="5000"/>
        <w:tblLook w:firstRow="1" w:lastRow="0" w:firstColumn="0" w:lastColumn="0" w:noHBand="0" w:noVBand="0" w:val="0020"/>
      </w:tblPr>
      <w:tblGrid>
        <w:gridCol w:w="3960"/>
        <w:gridCol w:w="3960"/>
      </w:tblGrid>
      <w:tr>
        <w:trPr>
          <w:tblHeader w:val="true"/>
        </w:trPr>
        <w:tc>
          <w:tcPr/>
          <w:p>
            <w:pPr>
              <w:pStyle w:val="Compact"/>
              <w:jc w:val="left"/>
            </w:pPr>
            <w:r>
              <w:t xml:space="preserve">Участок</w:t>
            </w:r>
          </w:p>
        </w:tc>
        <w:tc>
          <w:tcPr/>
          <w:p>
            <w:pPr>
              <w:pStyle w:val="Compact"/>
              <w:jc w:val="left"/>
            </w:pPr>
            <w:r>
              <w:t xml:space="preserve">Рассчитанное избыточное давление взрыва</w:t>
            </w:r>
          </w:p>
        </w:tc>
      </w:tr>
      <w:tr>
        <w:tc>
          <w:tcPr/>
          <w:p>
            <w:pPr>
              <w:pStyle w:val="Compact"/>
              <w:jc w:val="left"/>
            </w:pPr>
            <w:r>
              <w:t xml:space="preserve">Участок_04</w:t>
            </w:r>
          </w:p>
        </w:tc>
        <w:tc>
          <w:tcPr/>
          <w:p>
            <w:pPr>
              <w:pStyle w:val="Compact"/>
              <w:jc w:val="left"/>
            </w:pPr>
            <w:r>
              <w:t xml:space="preserve">0 кПа</w:t>
            </w:r>
          </w:p>
        </w:tc>
      </w:tr>
    </w:tbl>
    <w:p>
      <w:pPr>
        <w:pStyle w:val="a0"/>
      </w:pPr>
      <w:r>
        <w:t xml:space="preserve">Расчётные характеристики участков:</w:t>
      </w:r>
    </w:p>
    <w:tbl>
      <w:tblPr>
        <w:tblStyle w:val="Table"/>
        <w:tblW w:type="pct" w:w="5000"/>
        <w:tblLook w:firstRow="1" w:lastRow="0" w:firstColumn="0" w:lastColumn="0" w:noHBand="0" w:noVBand="0" w:val="0020"/>
      </w:tblPr>
      <w:tblGrid>
        <w:gridCol w:w="3960"/>
        <w:gridCol w:w="3960"/>
      </w:tblGrid>
      <w:tr>
        <w:trPr>
          <w:tblHeader w:val="true"/>
        </w:trPr>
        <w:tc>
          <w:tcPr/>
          <w:p>
            <w:pPr>
              <w:pStyle w:val="Compact"/>
              <w:jc w:val="left"/>
            </w:pPr>
            <w:r>
              <w:t xml:space="preserve">Наименование</w:t>
            </w:r>
          </w:p>
        </w:tc>
        <w:tc>
          <w:tcPr/>
          <w:p>
            <w:pPr>
              <w:pStyle w:val="Compact"/>
              <w:jc w:val="left"/>
            </w:pPr>
            <m:oMath>
              <m:r>
                <m:t>g</m:t>
              </m:r>
            </m:oMath>
          </w:p>
        </w:tc>
      </w:tr>
      <w:tr>
        <w:tc>
          <w:tcPr/>
          <w:p>
            <w:pPr>
              <w:pStyle w:val="Compact"/>
              <w:jc w:val="left"/>
            </w:pPr>
            <w:r>
              <w:t xml:space="preserve">Участок_04</w:t>
            </w:r>
          </w:p>
        </w:tc>
        <w:tc>
          <w:tcPr/>
          <w:p>
            <w:pPr>
              <w:pStyle w:val="Compact"/>
              <w:jc w:val="left"/>
            </w:pPr>
            <w:r>
              <w:t xml:space="preserve">110561,4 МДж/м²</w:t>
            </w:r>
          </w:p>
        </w:tc>
      </w:tr>
    </w:tbl>
    <w:p>
      <w:pPr>
        <w:pStyle w:val="a0"/>
      </w:pPr>
      <w:r>
        <w:t xml:space="preserve">где:</w:t>
      </w:r>
      <w:r>
        <w:t xml:space="preserve"> </w:t>
      </w:r>
      <m:oMath>
        <m:r>
          <m:t>g</m:t>
        </m:r>
      </m:oMath>
      <w:r>
        <w:t xml:space="preserve"> </w:t>
      </w:r>
      <w:r>
        <w:t xml:space="preserve">– удельная пожарная нагрузка на участке, определяемая по формуле (Б.2) СП 12.13130.2009.</w:t>
      </w:r>
    </w:p>
    <w:p>
      <w:pPr>
        <w:pStyle w:val="a0"/>
      </w:pPr>
      <w:r>
        <w:t xml:space="preserve">В помещении не находятся горючие газы, легковоспламеняющиеся жидкости с температурой вспышки не более 28 °С и (или) вещества и материалы, способные взрываться и гореть при взаимодействии с водой, кислородом воздуха или друг с другом, в таком количестве, что расчётное избыточное давление взрыва в помещении превышает 5 кПа, поэтому помещение не относится к категории А.</w:t>
      </w:r>
    </w:p>
    <w:p>
      <w:pPr>
        <w:pStyle w:val="a0"/>
      </w:pPr>
      <w:r>
        <w:t xml:space="preserve">В помещении не находятся горючие пыли или волокна, легковоспламеняющиеся жидкости с температурой вспышки более 28 °С, горючие жидкости в таком количестве, что могут образовывать взрывоопасные пылевоздушные или паровоздушные смеси, при воспламенении которых развивается расчётное избыточное давление взрыва в помещении, превышающее 5 кПа, поэтому помещение не относится к категории Б.</w:t>
      </w:r>
    </w:p>
    <w:p>
      <w:pPr>
        <w:pStyle w:val="a0"/>
      </w:pPr>
      <w:r>
        <w:t xml:space="preserve">Вывод: согласно п.п. Б.1, Б.2 СП 12.13130.2009, поскольку g &gt; 2200 МДж/м², помещение относится к категории В1.</w:t>
      </w:r>
    </w:p>
    <w:p>
      <w:pPr>
        <w:pStyle w:val="CaptionedFigure"/>
      </w:pPr>
      <w:r>
        <w:drawing>
          <wp:inline>
            <wp:extent cx="5759999" cy="3839999"/>
            <wp:effectExtent b="0" l="0" r="0" t="0"/>
            <wp:docPr descr="Определение категории помещения" title="" id="78" name="Picture"/>
            <a:graphic>
              <a:graphicData uri="http://schemas.openxmlformats.org/drawingml/2006/picture">
                <pic:pic>
                  <pic:nvPicPr>
                    <pic:cNvPr descr="C:\Users\Надя\AppData\Local\Temp\tmp3BB9.tmp" id="79" name="Picture"/>
                    <pic:cNvPicPr>
                      <a:picLocks noChangeArrowheads="1" noChangeAspect="1"/>
                    </pic:cNvPicPr>
                  </pic:nvPicPr>
                  <pic:blipFill>
                    <a:blip r:embed="rId77"/>
                    <a:stretch>
                      <a:fillRect/>
                    </a:stretch>
                  </pic:blipFill>
                  <pic:spPr bwMode="auto">
                    <a:xfrm>
                      <a:off x="0" y="0"/>
                      <a:ext cx="5759999" cy="3839999"/>
                    </a:xfrm>
                    <a:prstGeom prst="rect">
                      <a:avLst/>
                    </a:prstGeom>
                    <a:noFill/>
                    <a:ln w="9525">
                      <a:noFill/>
                      <a:headEnd/>
                      <a:tailEnd/>
                    </a:ln>
                  </pic:spPr>
                </pic:pic>
              </a:graphicData>
            </a:graphic>
          </wp:inline>
        </w:drawing>
      </w:r>
    </w:p>
    <w:p>
      <w:pPr>
        <w:pStyle w:val="ImageCaption"/>
      </w:pPr>
      <w:r>
        <w:t xml:space="preserve">Определение категории помещения</w:t>
      </w:r>
    </w:p>
    <w:bookmarkEnd w:id="80"/>
    <w:bookmarkStart w:id="81" w:name="X89f4c245ce57f9f3ae48b20dda62faddc681651"/>
    <w:p>
      <w:pPr>
        <w:pStyle w:val="3"/>
      </w:pPr>
      <w:r>
        <w:t xml:space="preserve">Определение класса зоны помещения по ПУЭ</w:t>
      </w:r>
    </w:p>
    <w:p>
      <w:pPr>
        <w:pStyle w:val="FirstParagraph"/>
      </w:pPr>
      <w:r>
        <w:t xml:space="preserve">Согласно п. 7.4.9 ПУЭ, определение границ и класса пожароопасных зон должно производиться технологами совместно с электриками проектной или эксплуатационной организации.</w:t>
      </w:r>
    </w:p>
    <w:p>
      <w:pPr>
        <w:pStyle w:val="a0"/>
      </w:pPr>
      <w:r>
        <w:t xml:space="preserve">Согласно п. 7.4.3 ПУЭ, зоны, расположенные в помещениях, в которых обращаются горючие жидкости с температурой вспышки выше 61 °С,</w:t>
      </w:r>
      <w:r>
        <w:t xml:space="preserve"> </w:t>
      </w:r>
      <w:r>
        <w:rPr>
          <w:bCs/>
          <w:b/>
        </w:rPr>
        <w:t xml:space="preserve">относятся к классу П-I</w:t>
      </w:r>
      <w:r>
        <w:t xml:space="preserve">.</w:t>
      </w:r>
    </w:p>
    <w:bookmarkEnd w:id="81"/>
    <w:bookmarkStart w:id="82" w:name="Xac1647105e1f21ee289efbfca4421c69da9fb74"/>
    <w:p>
      <w:pPr>
        <w:pStyle w:val="3"/>
      </w:pPr>
      <w:r>
        <w:t xml:space="preserve">Определение класса зоны помещения по ФЗ № 123</w:t>
      </w:r>
    </w:p>
    <w:p>
      <w:pPr>
        <w:pStyle w:val="FirstParagraph"/>
      </w:pPr>
      <w:r>
        <w:t xml:space="preserve">Согласно ст. 18 «Технического регламента о требованиях пожарной безопасности», зоны, расположенные в помещениях, в которых обращаются горючие жидкости с температурой вспышки 61 и более градуса Цельсия,</w:t>
      </w:r>
      <w:r>
        <w:t xml:space="preserve"> </w:t>
      </w:r>
      <w:r>
        <w:rPr>
          <w:bCs/>
          <w:b/>
        </w:rPr>
        <w:t xml:space="preserve">относятся к классу П-I</w:t>
      </w:r>
      <w:r>
        <w:t xml:space="preserve">.</w:t>
      </w:r>
    </w:p>
    <w:bookmarkEnd w:id="82"/>
    <w:bookmarkEnd w:id="83"/>
    <w:bookmarkStart w:id="87" w:name="определение-категории-здания"/>
    <w:p>
      <w:pPr>
        <w:pStyle w:val="2"/>
      </w:pPr>
      <w:r>
        <w:t xml:space="preserve">Определение категории здания</w:t>
      </w:r>
    </w:p>
    <w:p>
      <w:pPr>
        <w:pStyle w:val="FirstParagraph"/>
      </w:pPr>
      <w:r>
        <w:t xml:space="preserve">Площадь здания «Здание» составляет</w:t>
      </w:r>
      <w:r>
        <w:t xml:space="preserve"> </w:t>
      </w:r>
      <m:oMath>
        <m:r>
          <m:t>2017</m:t>
        </m:r>
        <m:r>
          <m:t> </m:t>
        </m:r>
        <m:r>
          <m:rPr>
            <m:nor/>
            <m:sty m:val="p"/>
          </m:rPr>
          <m:t>м²</m:t>
        </m:r>
      </m:oMath>
      <w:r>
        <w:t xml:space="preserve">.</w:t>
      </w:r>
    </w:p>
    <w:tbl>
      <w:tblPr>
        <w:tblStyle w:val="Table"/>
        <w:tblW w:type="pct" w:w="5000"/>
        <w:tblLook w:firstRow="1" w:lastRow="0" w:firstColumn="0" w:lastColumn="0" w:noHBand="0" w:noVBand="0" w:val="0020"/>
      </w:tblPr>
      <w:tblGrid>
        <w:gridCol w:w="1584"/>
        <w:gridCol w:w="2376"/>
        <w:gridCol w:w="2376"/>
        <w:gridCol w:w="1584"/>
      </w:tblGrid>
      <w:tr>
        <w:trPr>
          <w:tblHeader w:val="true"/>
        </w:trPr>
        <w:tc>
          <w:tcPr/>
          <w:p>
            <w:pPr>
              <w:pStyle w:val="Compact"/>
              <w:jc w:val="left"/>
            </w:pPr>
            <w:r>
              <w:t xml:space="preserve">Категория</w:t>
            </w:r>
          </w:p>
        </w:tc>
        <w:tc>
          <w:tcPr/>
          <w:p>
            <w:pPr>
              <w:pStyle w:val="Compact"/>
              <w:jc w:val="left"/>
            </w:pPr>
            <w:r>
              <w:t xml:space="preserve">Суммированная площадь помещений, м²</w:t>
            </w:r>
          </w:p>
        </w:tc>
        <w:tc>
          <w:tcPr/>
          <w:p>
            <w:pPr>
              <w:pStyle w:val="Compact"/>
              <w:jc w:val="left"/>
            </w:pPr>
            <w:r>
              <w:t xml:space="preserve">Отношение суммированной площади помещений к площади здания, %</w:t>
            </w:r>
          </w:p>
        </w:tc>
        <w:tc>
          <w:tcPr/>
          <w:p>
            <w:pPr>
              <w:pStyle w:val="Compact"/>
              <w:jc w:val="left"/>
            </w:pPr>
            <w:r>
              <w:t xml:space="preserve">Наличие АУПТ</w:t>
            </w:r>
          </w:p>
        </w:tc>
      </w:tr>
      <w:tr>
        <w:tc>
          <w:tcPr/>
          <w:p>
            <w:pPr>
              <w:pStyle w:val="Compact"/>
              <w:jc w:val="left"/>
            </w:pPr>
            <w:r>
              <w:t xml:space="preserve">А</w:t>
            </w:r>
          </w:p>
        </w:tc>
        <w:tc>
          <w:tcPr/>
          <w:p>
            <w:pPr>
              <w:pStyle w:val="Compact"/>
              <w:jc w:val="left"/>
            </w:pPr>
            <w:r>
              <w:t xml:space="preserve">872</w:t>
            </w:r>
          </w:p>
        </w:tc>
        <w:tc>
          <w:tcPr/>
          <w:p>
            <w:pPr>
              <w:pStyle w:val="Compact"/>
              <w:jc w:val="left"/>
            </w:pPr>
            <w:r>
              <w:t xml:space="preserve">43,2</w:t>
            </w:r>
          </w:p>
        </w:tc>
        <w:tc>
          <w:tcPr/>
          <w:p>
            <w:pPr>
              <w:pStyle w:val="Compact"/>
              <w:jc w:val="left"/>
            </w:pPr>
            <w:r>
              <w:t xml:space="preserve">Нет</w:t>
            </w:r>
          </w:p>
        </w:tc>
      </w:tr>
      <w:tr>
        <w:tc>
          <w:tcPr/>
          <w:p>
            <w:pPr>
              <w:pStyle w:val="Compact"/>
              <w:jc w:val="left"/>
            </w:pPr>
            <w:r>
              <w:t xml:space="preserve">В1</w:t>
            </w:r>
          </w:p>
        </w:tc>
        <w:tc>
          <w:tcPr/>
          <w:p>
            <w:pPr>
              <w:pStyle w:val="Compact"/>
              <w:jc w:val="left"/>
            </w:pPr>
            <w:r>
              <w:t xml:space="preserve">16</w:t>
            </w:r>
          </w:p>
        </w:tc>
        <w:tc>
          <w:tcPr/>
          <w:p>
            <w:pPr>
              <w:pStyle w:val="Compact"/>
              <w:jc w:val="left"/>
            </w:pPr>
            <w:r>
              <w:t xml:space="preserve">0,8</w:t>
            </w:r>
          </w:p>
        </w:tc>
        <w:tc>
          <w:tcPr/>
          <w:p>
            <w:pPr>
              <w:pStyle w:val="Compact"/>
              <w:jc w:val="left"/>
            </w:pPr>
            <w:r>
              <w:t xml:space="preserve">Нет</w:t>
            </w:r>
          </w:p>
        </w:tc>
      </w:tr>
      <w:tr>
        <w:tc>
          <w:tcPr/>
          <w:p>
            <w:pPr>
              <w:pStyle w:val="Compact"/>
              <w:jc w:val="left"/>
            </w:pPr>
            <w:r>
              <w:t xml:space="preserve">В2</w:t>
            </w:r>
          </w:p>
        </w:tc>
        <w:tc>
          <w:tcPr/>
          <w:p>
            <w:pPr>
              <w:pStyle w:val="Compact"/>
              <w:jc w:val="left"/>
            </w:pPr>
            <w:r>
              <w:t xml:space="preserve">320</w:t>
            </w:r>
          </w:p>
        </w:tc>
        <w:tc>
          <w:tcPr/>
          <w:p>
            <w:pPr>
              <w:pStyle w:val="Compact"/>
              <w:jc w:val="left"/>
            </w:pPr>
            <w:r>
              <w:t xml:space="preserve">15,9</w:t>
            </w:r>
          </w:p>
        </w:tc>
        <w:tc>
          <w:tcPr/>
          <w:p>
            <w:pPr>
              <w:pStyle w:val="Compact"/>
              <w:jc w:val="left"/>
            </w:pPr>
            <w:r>
              <w:t xml:space="preserve">Нет</w:t>
            </w:r>
          </w:p>
        </w:tc>
      </w:tr>
      <w:tr>
        <w:tc>
          <w:tcPr/>
          <w:p>
            <w:pPr>
              <w:pStyle w:val="Compact"/>
              <w:jc w:val="left"/>
            </w:pPr>
            <w:r>
              <w:t xml:space="preserve">В3</w:t>
            </w:r>
          </w:p>
        </w:tc>
        <w:tc>
          <w:tcPr/>
          <w:p>
            <w:pPr>
              <w:pStyle w:val="Compact"/>
              <w:jc w:val="left"/>
            </w:pPr>
            <w:r>
              <w:t xml:space="preserve">800</w:t>
            </w:r>
          </w:p>
        </w:tc>
        <w:tc>
          <w:tcPr/>
          <w:p>
            <w:pPr>
              <w:pStyle w:val="Compact"/>
              <w:jc w:val="left"/>
            </w:pPr>
            <w:r>
              <w:t xml:space="preserve">39,7</w:t>
            </w:r>
          </w:p>
        </w:tc>
        <w:tc>
          <w:tcPr/>
          <w:p>
            <w:pPr>
              <w:pStyle w:val="Compact"/>
              <w:jc w:val="left"/>
            </w:pPr>
            <w:r>
              <w:t xml:space="preserve">Нет</w:t>
            </w:r>
          </w:p>
        </w:tc>
      </w:tr>
      <w:tr>
        <w:tc>
          <w:tcPr/>
          <w:p>
            <w:pPr>
              <w:pStyle w:val="Compact"/>
              <w:jc w:val="left"/>
            </w:pPr>
            <w:r>
              <w:t xml:space="preserve">В4</w:t>
            </w:r>
          </w:p>
        </w:tc>
        <w:tc>
          <w:tcPr/>
          <w:p>
            <w:pPr>
              <w:pStyle w:val="Compact"/>
              <w:jc w:val="left"/>
            </w:pPr>
            <w:r>
              <w:t xml:space="preserve">9</w:t>
            </w:r>
          </w:p>
        </w:tc>
        <w:tc>
          <w:tcPr/>
          <w:p>
            <w:pPr>
              <w:pStyle w:val="Compact"/>
              <w:jc w:val="left"/>
            </w:pPr>
            <w:r>
              <w:t xml:space="preserve">0,4</w:t>
            </w:r>
          </w:p>
        </w:tc>
        <w:tc>
          <w:tcPr/>
          <w:p>
            <w:pPr>
              <w:pStyle w:val="Compact"/>
              <w:jc w:val="left"/>
            </w:pPr>
            <w:r>
              <w:t xml:space="preserve">Нет</w:t>
            </w:r>
          </w:p>
        </w:tc>
      </w:tr>
    </w:tbl>
    <w:p>
      <w:pPr>
        <w:pStyle w:val="a0"/>
      </w:pPr>
      <w:r>
        <w:t xml:space="preserve">Здание «Здание» относится к категории А.</w:t>
      </w:r>
    </w:p>
    <w:p>
      <w:pPr>
        <w:pStyle w:val="CaptionedFigure"/>
      </w:pPr>
      <w:r>
        <w:drawing>
          <wp:inline>
            <wp:extent cx="5759999" cy="3839999"/>
            <wp:effectExtent b="0" l="0" r="0" t="0"/>
            <wp:docPr descr="Площадь помещений" title="" id="85" name="Picture"/>
            <a:graphic>
              <a:graphicData uri="http://schemas.openxmlformats.org/drawingml/2006/picture">
                <pic:pic>
                  <pic:nvPicPr>
                    <pic:cNvPr descr="C:\Users\Надя\AppData\Local\Temp\tmp3C19.tmp" id="86" name="Picture"/>
                    <pic:cNvPicPr>
                      <a:picLocks noChangeArrowheads="1" noChangeAspect="1"/>
                    </pic:cNvPicPr>
                  </pic:nvPicPr>
                  <pic:blipFill>
                    <a:blip r:embed="rId84"/>
                    <a:stretch>
                      <a:fillRect/>
                    </a:stretch>
                  </pic:blipFill>
                  <pic:spPr bwMode="auto">
                    <a:xfrm>
                      <a:off x="0" y="0"/>
                      <a:ext cx="5759999" cy="3839999"/>
                    </a:xfrm>
                    <a:prstGeom prst="rect">
                      <a:avLst/>
                    </a:prstGeom>
                    <a:noFill/>
                    <a:ln w="9525">
                      <a:noFill/>
                      <a:headEnd/>
                      <a:tailEnd/>
                    </a:ln>
                  </pic:spPr>
                </pic:pic>
              </a:graphicData>
            </a:graphic>
          </wp:inline>
        </w:drawing>
      </w:r>
    </w:p>
    <w:p>
      <w:pPr>
        <w:pStyle w:val="ImageCaption"/>
      </w:pPr>
      <w:r>
        <w:t xml:space="preserve">Площадь помещений</w:t>
      </w:r>
    </w:p>
    <w:bookmarkEnd w:id="87"/>
    <w:bookmarkEnd w:id="88"/>
    <w:bookmarkStart w:id="107" w:name="рассчитанные-категории-помещений"/>
    <w:p>
      <w:pPr>
        <w:pStyle w:val="1"/>
      </w:pPr>
      <w:r>
        <w:t xml:space="preserve">Рассчитанные категории помещений</w:t>
      </w:r>
    </w:p>
    <w:p>
      <w:pPr>
        <w:pStyle w:val="FirstParagraph"/>
      </w:pPr>
      <w:r>
        <w:rPr>
          <w:bCs/>
          <w:b/>
        </w:rPr>
        <w:t xml:space="preserve">Здание</w:t>
      </w:r>
    </w:p>
    <w:tbl>
      <w:tblPr>
        <w:tblStyle w:val="Table"/>
        <w:tblW w:type="pct" w:w="5000"/>
        <w:tblLook w:firstRow="1" w:lastRow="0" w:firstColumn="0" w:lastColumn="0" w:noHBand="0" w:noVBand="0" w:val="0020"/>
      </w:tblPr>
      <w:tblGrid>
        <w:gridCol w:w="1131"/>
        <w:gridCol w:w="1131"/>
        <w:gridCol w:w="1131"/>
        <w:gridCol w:w="1131"/>
        <w:gridCol w:w="1131"/>
        <w:gridCol w:w="1131"/>
        <w:gridCol w:w="1131"/>
      </w:tblGrid>
      <w:tr>
        <w:trPr>
          <w:tblHeader w:val="true"/>
        </w:trPr>
        <w:tc>
          <w:tcPr/>
          <w:p>
            <w:pPr>
              <w:pStyle w:val="Compact"/>
              <w:jc w:val="left"/>
            </w:pPr>
            <w:r>
              <w:t xml:space="preserve">Помещение</w:t>
            </w:r>
          </w:p>
        </w:tc>
        <w:tc>
          <w:tcPr/>
          <w:p>
            <w:pPr>
              <w:jc w:val="left"/>
            </w:pPr>
            <w:r>
              <w:t xml:space="preserve">Площадь,</w:t>
            </w:r>
          </w:p>
          <w:p>
            <w:pPr>
              <w:jc w:val="left"/>
            </w:pPr>
            <w:r>
              <w:t xml:space="preserve">м²</w:t>
            </w:r>
          </w:p>
        </w:tc>
        <w:tc>
          <w:tcPr/>
          <w:p>
            <w:pPr>
              <w:jc w:val="left"/>
            </w:pPr>
            <w:r>
              <w:t xml:space="preserve">Имеется</w:t>
            </w:r>
          </w:p>
          <w:p>
            <w:pPr>
              <w:jc w:val="left"/>
            </w:pPr>
            <w:r>
              <w:t xml:space="preserve">АУПТ</w:t>
            </w:r>
          </w:p>
        </w:tc>
        <w:tc>
          <w:tcPr/>
          <w:p>
            <w:pPr>
              <w:pStyle w:val="Compact"/>
              <w:jc w:val="left"/>
            </w:pPr>
            <w:r>
              <w:t xml:space="preserve">Категория</w:t>
            </w:r>
          </w:p>
        </w:tc>
        <w:tc>
          <w:tcPr/>
          <w:p>
            <w:pPr>
              <w:jc w:val="left"/>
            </w:pPr>
            <w:r>
              <w:t xml:space="preserve">Класс зоны</w:t>
            </w:r>
          </w:p>
          <w:p>
            <w:pPr>
              <w:jc w:val="left"/>
            </w:pPr>
            <w:r>
              <w:t xml:space="preserve">по ПУЭ</w:t>
            </w:r>
          </w:p>
        </w:tc>
        <w:tc>
          <w:tcPr/>
          <w:p>
            <w:pPr>
              <w:jc w:val="left"/>
            </w:pPr>
            <w:r>
              <w:t xml:space="preserve">Класс зоны</w:t>
            </w:r>
          </w:p>
          <w:p>
            <w:pPr>
              <w:jc w:val="left"/>
            </w:pPr>
            <w:r>
              <w:t xml:space="preserve">по ФЗ №123</w:t>
            </w:r>
          </w:p>
        </w:tc>
        <w:tc>
          <w:tcPr/>
          <w:p>
            <w:pPr>
              <w:pStyle w:val="Compact"/>
              <w:jc w:val="left"/>
            </w:pPr>
            <w:r>
              <w:t xml:space="preserve">Обозначение</w:t>
            </w:r>
          </w:p>
        </w:tc>
      </w:tr>
      <w:tr>
        <w:tc>
          <w:tcPr/>
          <w:p>
            <w:pPr>
              <w:pStyle w:val="Compact"/>
              <w:jc w:val="left"/>
            </w:pPr>
            <w:r>
              <w:t xml:space="preserve">Этаж 1. Венткамера</w:t>
            </w:r>
          </w:p>
        </w:tc>
        <w:tc>
          <w:tcPr/>
          <w:p>
            <w:pPr>
              <w:pStyle w:val="Compact"/>
              <w:jc w:val="left"/>
            </w:pPr>
            <w:r>
              <w:t xml:space="preserve">800</w:t>
            </w:r>
          </w:p>
        </w:tc>
        <w:tc>
          <w:tcPr/>
          <w:p>
            <w:pPr>
              <w:pStyle w:val="Compact"/>
              <w:jc w:val="left"/>
            </w:pPr>
            <w:r>
              <w:t xml:space="preserve">Нет</w:t>
            </w:r>
          </w:p>
        </w:tc>
        <w:tc>
          <w:tcPr/>
          <w:p>
            <w:pPr>
              <w:pStyle w:val="Compact"/>
              <w:jc w:val="left"/>
            </w:pPr>
            <w:r>
              <w:t xml:space="preserve">А</w:t>
            </w:r>
          </w:p>
        </w:tc>
        <w:tc>
          <w:tcPr/>
          <w:p>
            <w:pPr>
              <w:pStyle w:val="Compact"/>
              <w:jc w:val="left"/>
            </w:pPr>
            <w:r>
              <w:t xml:space="preserve">В-Iа</w:t>
            </w:r>
          </w:p>
        </w:tc>
        <w:tc>
          <w:tcPr/>
          <w:p>
            <w:pPr>
              <w:pStyle w:val="Compact"/>
              <w:jc w:val="left"/>
            </w:pPr>
            <w:r>
              <w:t xml:space="preserve">2</w:t>
            </w:r>
          </w:p>
        </w:tc>
        <w:tc>
          <w:tcPr/>
          <w:p>
            <w:pPr>
              <w:pStyle w:val="Compact"/>
              <w:jc w:val="left"/>
            </w:pPr>
            <w:r>
              <w:drawing>
                <wp:inline>
                  <wp:extent cx="539999" cy="452903"/>
                  <wp:effectExtent b="0" l="0" r="0" t="0"/>
                  <wp:docPr descr="image" title="" id="90" name="Picture"/>
                  <a:graphic>
                    <a:graphicData uri="http://schemas.openxmlformats.org/drawingml/2006/picture">
                      <pic:pic>
                        <pic:nvPicPr>
                          <pic:cNvPr descr="C:\Users\Надя\AppData\Local\Temp\tmpEBF2.tmp" id="91" name="Picture"/>
                          <pic:cNvPicPr>
                            <a:picLocks noChangeArrowheads="1" noChangeAspect="1"/>
                          </pic:cNvPicPr>
                        </pic:nvPicPr>
                        <pic:blipFill>
                          <a:blip r:embed="rId89"/>
                          <a:stretch>
                            <a:fillRect/>
                          </a:stretch>
                        </pic:blipFill>
                        <pic:spPr bwMode="auto">
                          <a:xfrm>
                            <a:off x="0" y="0"/>
                            <a:ext cx="539999" cy="452903"/>
                          </a:xfrm>
                          <a:prstGeom prst="rect">
                            <a:avLst/>
                          </a:prstGeom>
                          <a:noFill/>
                          <a:ln w="9525">
                            <a:noFill/>
                            <a:headEnd/>
                            <a:tailEnd/>
                          </a:ln>
                        </pic:spPr>
                      </pic:pic>
                    </a:graphicData>
                  </a:graphic>
                </wp:inline>
              </w:drawing>
            </w:r>
          </w:p>
        </w:tc>
      </w:tr>
      <w:tr>
        <w:tc>
          <w:tcPr/>
          <w:p>
            <w:pPr>
              <w:pStyle w:val="Compact"/>
              <w:jc w:val="left"/>
            </w:pPr>
            <w:r>
              <w:t xml:space="preserve">Этаж 1. Подсобное помещение</w:t>
            </w:r>
          </w:p>
        </w:tc>
        <w:tc>
          <w:tcPr/>
          <w:p>
            <w:pPr>
              <w:pStyle w:val="Compact"/>
              <w:jc w:val="left"/>
            </w:pPr>
            <w:r>
              <w:t xml:space="preserve">9</w:t>
            </w:r>
          </w:p>
        </w:tc>
        <w:tc>
          <w:tcPr/>
          <w:p>
            <w:pPr>
              <w:pStyle w:val="Compact"/>
              <w:jc w:val="left"/>
            </w:pPr>
            <w:r>
              <w:t xml:space="preserve">Нет</w:t>
            </w:r>
          </w:p>
        </w:tc>
        <w:tc>
          <w:tcPr/>
          <w:p>
            <w:pPr>
              <w:pStyle w:val="Compact"/>
              <w:jc w:val="left"/>
            </w:pPr>
            <w:r>
              <w:t xml:space="preserve">В4</w:t>
            </w:r>
          </w:p>
        </w:tc>
        <w:tc>
          <w:tcPr/>
          <w:p>
            <w:pPr>
              <w:pStyle w:val="Compact"/>
              <w:jc w:val="left"/>
            </w:pPr>
            <w:r>
              <w:t xml:space="preserve">П-IIа</w:t>
            </w:r>
          </w:p>
        </w:tc>
        <w:tc>
          <w:tcPr/>
          <w:p>
            <w:pPr>
              <w:pStyle w:val="Compact"/>
              <w:jc w:val="left"/>
            </w:pPr>
            <w:r>
              <w:t xml:space="preserve">П-IIа</w:t>
            </w:r>
          </w:p>
        </w:tc>
        <w:tc>
          <w:tcPr/>
          <w:p>
            <w:pPr>
              <w:pStyle w:val="Compact"/>
              <w:jc w:val="left"/>
            </w:pPr>
            <w:r>
              <w:drawing>
                <wp:inline>
                  <wp:extent cx="539999" cy="452903"/>
                  <wp:effectExtent b="0" l="0" r="0" t="0"/>
                  <wp:docPr descr="image" title="" id="93" name="Picture"/>
                  <a:graphic>
                    <a:graphicData uri="http://schemas.openxmlformats.org/drawingml/2006/picture">
                      <pic:pic>
                        <pic:nvPicPr>
                          <pic:cNvPr descr="C:\Users\Надя\AppData\Local\Temp\tmpEBF3.tmp" id="94" name="Picture"/>
                          <pic:cNvPicPr>
                            <a:picLocks noChangeArrowheads="1" noChangeAspect="1"/>
                          </pic:cNvPicPr>
                        </pic:nvPicPr>
                        <pic:blipFill>
                          <a:blip r:embed="rId92"/>
                          <a:stretch>
                            <a:fillRect/>
                          </a:stretch>
                        </pic:blipFill>
                        <pic:spPr bwMode="auto">
                          <a:xfrm>
                            <a:off x="0" y="0"/>
                            <a:ext cx="539999" cy="452903"/>
                          </a:xfrm>
                          <a:prstGeom prst="rect">
                            <a:avLst/>
                          </a:prstGeom>
                          <a:noFill/>
                          <a:ln w="9525">
                            <a:noFill/>
                            <a:headEnd/>
                            <a:tailEnd/>
                          </a:ln>
                        </pic:spPr>
                      </pic:pic>
                    </a:graphicData>
                  </a:graphic>
                </wp:inline>
              </w:drawing>
            </w:r>
          </w:p>
        </w:tc>
      </w:tr>
      <w:tr>
        <w:tc>
          <w:tcPr/>
          <w:p>
            <w:pPr>
              <w:pStyle w:val="Compact"/>
              <w:jc w:val="left"/>
            </w:pPr>
            <w:r>
              <w:t xml:space="preserve">Этаж 2. Помещение обслуживания автомобилей</w:t>
            </w:r>
          </w:p>
        </w:tc>
        <w:tc>
          <w:tcPr/>
          <w:p>
            <w:pPr>
              <w:pStyle w:val="Compact"/>
              <w:jc w:val="left"/>
            </w:pPr>
            <w:r>
              <w:t xml:space="preserve">800</w:t>
            </w:r>
          </w:p>
        </w:tc>
        <w:tc>
          <w:tcPr/>
          <w:p>
            <w:pPr>
              <w:pStyle w:val="Compact"/>
              <w:jc w:val="left"/>
            </w:pPr>
            <w:r>
              <w:t xml:space="preserve">Нет</w:t>
            </w:r>
          </w:p>
        </w:tc>
        <w:tc>
          <w:tcPr/>
          <w:p>
            <w:pPr>
              <w:pStyle w:val="Compact"/>
              <w:jc w:val="left"/>
            </w:pPr>
            <w:r>
              <w:t xml:space="preserve">В3</w:t>
            </w:r>
          </w:p>
        </w:tc>
        <w:tc>
          <w:tcPr/>
          <w:p>
            <w:pPr>
              <w:pStyle w:val="Compact"/>
              <w:jc w:val="left"/>
            </w:pPr>
            <w:r>
              <w:t xml:space="preserve">В-Iа</w:t>
            </w:r>
          </w:p>
        </w:tc>
        <w:tc>
          <w:tcPr/>
          <w:p>
            <w:pPr>
              <w:pStyle w:val="Compact"/>
              <w:jc w:val="left"/>
            </w:pPr>
            <w:r>
              <w:t xml:space="preserve">2</w:t>
            </w:r>
          </w:p>
        </w:tc>
        <w:tc>
          <w:tcPr/>
          <w:p>
            <w:pPr>
              <w:pStyle w:val="Compact"/>
              <w:jc w:val="left"/>
            </w:pPr>
            <w:r>
              <w:drawing>
                <wp:inline>
                  <wp:extent cx="539999" cy="452903"/>
                  <wp:effectExtent b="0" l="0" r="0" t="0"/>
                  <wp:docPr descr="image" title="" id="96" name="Picture"/>
                  <a:graphic>
                    <a:graphicData uri="http://schemas.openxmlformats.org/drawingml/2006/picture">
                      <pic:pic>
                        <pic:nvPicPr>
                          <pic:cNvPr descr="C:\Users\Надя\AppData\Local\Temp\tmpEBF4.tmp" id="97" name="Picture"/>
                          <pic:cNvPicPr>
                            <a:picLocks noChangeArrowheads="1" noChangeAspect="1"/>
                          </pic:cNvPicPr>
                        </pic:nvPicPr>
                        <pic:blipFill>
                          <a:blip r:embed="rId95"/>
                          <a:stretch>
                            <a:fillRect/>
                          </a:stretch>
                        </pic:blipFill>
                        <pic:spPr bwMode="auto">
                          <a:xfrm>
                            <a:off x="0" y="0"/>
                            <a:ext cx="539999" cy="452903"/>
                          </a:xfrm>
                          <a:prstGeom prst="rect">
                            <a:avLst/>
                          </a:prstGeom>
                          <a:noFill/>
                          <a:ln w="9525">
                            <a:noFill/>
                            <a:headEnd/>
                            <a:tailEnd/>
                          </a:ln>
                        </pic:spPr>
                      </pic:pic>
                    </a:graphicData>
                  </a:graphic>
                </wp:inline>
              </w:drawing>
            </w:r>
          </w:p>
        </w:tc>
      </w:tr>
      <w:tr>
        <w:tc>
          <w:tcPr/>
          <w:p>
            <w:pPr>
              <w:pStyle w:val="Compact"/>
              <w:jc w:val="left"/>
            </w:pPr>
            <w:r>
              <w:t xml:space="preserve">Этаж 2. Помещение складирования ацетона</w:t>
            </w:r>
          </w:p>
        </w:tc>
        <w:tc>
          <w:tcPr/>
          <w:p>
            <w:pPr>
              <w:pStyle w:val="Compact"/>
              <w:jc w:val="left"/>
            </w:pPr>
            <w:r>
              <w:t xml:space="preserve">72</w:t>
            </w:r>
          </w:p>
        </w:tc>
        <w:tc>
          <w:tcPr/>
          <w:p>
            <w:pPr>
              <w:pStyle w:val="Compact"/>
              <w:jc w:val="left"/>
            </w:pPr>
            <w:r>
              <w:t xml:space="preserve">Да</w:t>
            </w:r>
          </w:p>
        </w:tc>
        <w:tc>
          <w:tcPr/>
          <w:p>
            <w:pPr>
              <w:pStyle w:val="Compact"/>
              <w:jc w:val="left"/>
            </w:pPr>
            <w:r>
              <w:t xml:space="preserve">А</w:t>
            </w:r>
          </w:p>
        </w:tc>
        <w:tc>
          <w:tcPr/>
          <w:p>
            <w:pPr>
              <w:pStyle w:val="Compact"/>
              <w:jc w:val="left"/>
            </w:pPr>
            <w:r>
              <w:t xml:space="preserve">В-Iа</w:t>
            </w:r>
          </w:p>
        </w:tc>
        <w:tc>
          <w:tcPr/>
          <w:p>
            <w:pPr>
              <w:pStyle w:val="Compact"/>
              <w:jc w:val="left"/>
            </w:pPr>
            <w:r>
              <w:t xml:space="preserve">2</w:t>
            </w:r>
          </w:p>
        </w:tc>
        <w:tc>
          <w:tcPr/>
          <w:p>
            <w:pPr>
              <w:pStyle w:val="Compact"/>
              <w:jc w:val="left"/>
            </w:pPr>
            <w:r>
              <w:drawing>
                <wp:inline>
                  <wp:extent cx="539999" cy="452903"/>
                  <wp:effectExtent b="0" l="0" r="0" t="0"/>
                  <wp:docPr descr="image" title="" id="99" name="Picture"/>
                  <a:graphic>
                    <a:graphicData uri="http://schemas.openxmlformats.org/drawingml/2006/picture">
                      <pic:pic>
                        <pic:nvPicPr>
                          <pic:cNvPr descr="C:\Users\Надя\AppData\Local\Temp\tmpEBF5.tmp" id="100" name="Picture"/>
                          <pic:cNvPicPr>
                            <a:picLocks noChangeArrowheads="1" noChangeAspect="1"/>
                          </pic:cNvPicPr>
                        </pic:nvPicPr>
                        <pic:blipFill>
                          <a:blip r:embed="rId98"/>
                          <a:stretch>
                            <a:fillRect/>
                          </a:stretch>
                        </pic:blipFill>
                        <pic:spPr bwMode="auto">
                          <a:xfrm>
                            <a:off x="0" y="0"/>
                            <a:ext cx="539999" cy="452903"/>
                          </a:xfrm>
                          <a:prstGeom prst="rect">
                            <a:avLst/>
                          </a:prstGeom>
                          <a:noFill/>
                          <a:ln w="9525">
                            <a:noFill/>
                            <a:headEnd/>
                            <a:tailEnd/>
                          </a:ln>
                        </pic:spPr>
                      </pic:pic>
                    </a:graphicData>
                  </a:graphic>
                </wp:inline>
              </w:drawing>
            </w:r>
          </w:p>
        </w:tc>
      </w:tr>
      <w:tr>
        <w:tc>
          <w:tcPr/>
          <w:p>
            <w:pPr>
              <w:pStyle w:val="Compact"/>
              <w:jc w:val="left"/>
            </w:pPr>
            <w:r>
              <w:t xml:space="preserve">Этаж 2. Помещение сушильно-пропиточного отделения электромашинного цеха</w:t>
            </w:r>
          </w:p>
        </w:tc>
        <w:tc>
          <w:tcPr/>
          <w:p>
            <w:pPr>
              <w:pStyle w:val="Compact"/>
              <w:jc w:val="left"/>
            </w:pPr>
            <w:r>
              <w:t xml:space="preserve">320</w:t>
            </w:r>
          </w:p>
        </w:tc>
        <w:tc>
          <w:tcPr/>
          <w:p>
            <w:pPr>
              <w:pStyle w:val="Compact"/>
              <w:jc w:val="left"/>
            </w:pPr>
            <w:r>
              <w:t xml:space="preserve">Нет</w:t>
            </w:r>
          </w:p>
        </w:tc>
        <w:tc>
          <w:tcPr/>
          <w:p>
            <w:pPr>
              <w:pStyle w:val="Compact"/>
              <w:jc w:val="left"/>
            </w:pPr>
            <w:r>
              <w:t xml:space="preserve">В2</w:t>
            </w:r>
          </w:p>
        </w:tc>
        <w:tc>
          <w:tcPr/>
          <w:p>
            <w:pPr>
              <w:pStyle w:val="Compact"/>
              <w:jc w:val="left"/>
            </w:pPr>
            <w:r>
              <w:t xml:space="preserve">П-I</w:t>
            </w:r>
          </w:p>
        </w:tc>
        <w:tc>
          <w:tcPr/>
          <w:p>
            <w:pPr>
              <w:pStyle w:val="Compact"/>
              <w:jc w:val="left"/>
            </w:pPr>
            <w:r>
              <w:t xml:space="preserve">П-I</w:t>
            </w:r>
          </w:p>
        </w:tc>
        <w:tc>
          <w:tcPr/>
          <w:p>
            <w:pPr>
              <w:pStyle w:val="Compact"/>
              <w:jc w:val="left"/>
            </w:pPr>
            <w:r>
              <w:drawing>
                <wp:inline>
                  <wp:extent cx="539999" cy="452903"/>
                  <wp:effectExtent b="0" l="0" r="0" t="0"/>
                  <wp:docPr descr="image" title="" id="102" name="Picture"/>
                  <a:graphic>
                    <a:graphicData uri="http://schemas.openxmlformats.org/drawingml/2006/picture">
                      <pic:pic>
                        <pic:nvPicPr>
                          <pic:cNvPr descr="C:\Users\Надя\AppData\Local\Temp\tmpEC05.tmp" id="103" name="Picture"/>
                          <pic:cNvPicPr>
                            <a:picLocks noChangeArrowheads="1" noChangeAspect="1"/>
                          </pic:cNvPicPr>
                        </pic:nvPicPr>
                        <pic:blipFill>
                          <a:blip r:embed="rId101"/>
                          <a:stretch>
                            <a:fillRect/>
                          </a:stretch>
                        </pic:blipFill>
                        <pic:spPr bwMode="auto">
                          <a:xfrm>
                            <a:off x="0" y="0"/>
                            <a:ext cx="539999" cy="452903"/>
                          </a:xfrm>
                          <a:prstGeom prst="rect">
                            <a:avLst/>
                          </a:prstGeom>
                          <a:noFill/>
                          <a:ln w="9525">
                            <a:noFill/>
                            <a:headEnd/>
                            <a:tailEnd/>
                          </a:ln>
                        </pic:spPr>
                      </pic:pic>
                    </a:graphicData>
                  </a:graphic>
                </wp:inline>
              </w:drawing>
            </w:r>
          </w:p>
        </w:tc>
      </w:tr>
      <w:tr>
        <w:tc>
          <w:tcPr/>
          <w:p>
            <w:pPr>
              <w:pStyle w:val="Compact"/>
              <w:jc w:val="left"/>
            </w:pPr>
            <w:r>
              <w:t xml:space="preserve">Этаж 2. Помещение топливного бака</w:t>
            </w:r>
          </w:p>
        </w:tc>
        <w:tc>
          <w:tcPr/>
          <w:p>
            <w:pPr>
              <w:pStyle w:val="Compact"/>
              <w:jc w:val="left"/>
            </w:pPr>
            <w:r>
              <w:t xml:space="preserve">16</w:t>
            </w:r>
          </w:p>
        </w:tc>
        <w:tc>
          <w:tcPr/>
          <w:p>
            <w:pPr>
              <w:pStyle w:val="Compact"/>
              <w:jc w:val="left"/>
            </w:pPr>
            <w:r>
              <w:t xml:space="preserve">Нет</w:t>
            </w:r>
          </w:p>
        </w:tc>
        <w:tc>
          <w:tcPr/>
          <w:p>
            <w:pPr>
              <w:pStyle w:val="Compact"/>
              <w:jc w:val="left"/>
            </w:pPr>
            <w:r>
              <w:t xml:space="preserve">В1</w:t>
            </w:r>
          </w:p>
        </w:tc>
        <w:tc>
          <w:tcPr/>
          <w:p>
            <w:pPr>
              <w:pStyle w:val="Compact"/>
              <w:jc w:val="left"/>
            </w:pPr>
            <w:r>
              <w:t xml:space="preserve">П-I</w:t>
            </w:r>
          </w:p>
        </w:tc>
        <w:tc>
          <w:tcPr/>
          <w:p>
            <w:pPr>
              <w:pStyle w:val="Compact"/>
              <w:jc w:val="left"/>
            </w:pPr>
            <w:r>
              <w:t xml:space="preserve">П-I</w:t>
            </w:r>
          </w:p>
        </w:tc>
        <w:tc>
          <w:tcPr/>
          <w:p>
            <w:pPr>
              <w:pStyle w:val="Compact"/>
              <w:jc w:val="left"/>
            </w:pPr>
            <w:r>
              <w:drawing>
                <wp:inline>
                  <wp:extent cx="539999" cy="452903"/>
                  <wp:effectExtent b="0" l="0" r="0" t="0"/>
                  <wp:docPr descr="image" title="" id="105" name="Picture"/>
                  <a:graphic>
                    <a:graphicData uri="http://schemas.openxmlformats.org/drawingml/2006/picture">
                      <pic:pic>
                        <pic:nvPicPr>
                          <pic:cNvPr descr="C:\Users\Надя\AppData\Local\Temp\tmpEC06.tmp" id="106" name="Picture"/>
                          <pic:cNvPicPr>
                            <a:picLocks noChangeArrowheads="1" noChangeAspect="1"/>
                          </pic:cNvPicPr>
                        </pic:nvPicPr>
                        <pic:blipFill>
                          <a:blip r:embed="rId104"/>
                          <a:stretch>
                            <a:fillRect/>
                          </a:stretch>
                        </pic:blipFill>
                        <pic:spPr bwMode="auto">
                          <a:xfrm>
                            <a:off x="0" y="0"/>
                            <a:ext cx="539999" cy="452903"/>
                          </a:xfrm>
                          <a:prstGeom prst="rect">
                            <a:avLst/>
                          </a:prstGeom>
                          <a:noFill/>
                          <a:ln w="9525">
                            <a:noFill/>
                            <a:headEnd/>
                            <a:tailEnd/>
                          </a:ln>
                        </pic:spPr>
                      </pic:pic>
                    </a:graphicData>
                  </a:graphic>
                </wp:inline>
              </w:drawing>
            </w:r>
          </w:p>
        </w:tc>
      </w:tr>
    </w:tbl>
    <w:bookmarkEnd w:id="107"/>
    <w:bookmarkStart w:id="108" w:name="рассчитанные-категории-зданий"/>
    <w:p>
      <w:pPr>
        <w:pStyle w:val="1"/>
      </w:pPr>
      <w:r>
        <w:t xml:space="preserve">Рассчитанные категории зданий</w:t>
      </w:r>
    </w:p>
    <w:tbl>
      <w:tblPr>
        <w:tblStyle w:val="Table"/>
        <w:tblW w:type="pct" w:w="5000"/>
        <w:tblLook w:firstRow="1" w:lastRow="0" w:firstColumn="0" w:lastColumn="0" w:noHBand="0" w:noVBand="0" w:val="0020"/>
      </w:tblPr>
      <w:tblGrid>
        <w:gridCol w:w="4752"/>
        <w:gridCol w:w="1584"/>
        <w:gridCol w:w="1584"/>
      </w:tblGrid>
      <w:tr>
        <w:trPr>
          <w:tblHeader w:val="true"/>
        </w:trPr>
        <w:tc>
          <w:tcPr/>
          <w:p>
            <w:pPr>
              <w:pStyle w:val="Compact"/>
              <w:jc w:val="left"/>
            </w:pPr>
            <w:r>
              <w:t xml:space="preserve">Здание</w:t>
            </w:r>
          </w:p>
        </w:tc>
        <w:tc>
          <w:tcPr/>
          <w:p>
            <w:pPr>
              <w:pStyle w:val="Compact"/>
              <w:jc w:val="left"/>
            </w:pPr>
            <w:r>
              <w:t xml:space="preserve">Площадь, м²</w:t>
            </w:r>
          </w:p>
        </w:tc>
        <w:tc>
          <w:tcPr/>
          <w:p>
            <w:pPr>
              <w:pStyle w:val="Compact"/>
              <w:jc w:val="left"/>
            </w:pPr>
            <w:r>
              <w:t xml:space="preserve">Категория</w:t>
            </w:r>
          </w:p>
        </w:tc>
      </w:tr>
      <w:tr>
        <w:tc>
          <w:tcPr/>
          <w:p>
            <w:pPr>
              <w:pStyle w:val="Compact"/>
              <w:jc w:val="left"/>
            </w:pPr>
            <w:r>
              <w:t xml:space="preserve">Здание</w:t>
            </w:r>
          </w:p>
        </w:tc>
        <w:tc>
          <w:tcPr/>
          <w:p>
            <w:pPr>
              <w:pStyle w:val="Compact"/>
              <w:jc w:val="left"/>
            </w:pPr>
            <w:r>
              <w:t xml:space="preserve">2017</w:t>
            </w:r>
          </w:p>
        </w:tc>
        <w:tc>
          <w:tcPr/>
          <w:p>
            <w:pPr>
              <w:pStyle w:val="Compact"/>
              <w:jc w:val="left"/>
            </w:pPr>
            <w:r>
              <w:t xml:space="preserve">А</w:t>
            </w:r>
          </w:p>
        </w:tc>
      </w:tr>
    </w:tbl>
    <w:bookmarkEnd w:id="108"/>
    <w:bookmarkStart w:id="109" w:name="X79fb81f153ea3aafb1db3451224b4a817701d10"/>
    <w:p>
      <w:pPr>
        <w:pStyle w:val="1"/>
      </w:pPr>
      <w:r>
        <w:t xml:space="preserve">Перечень исходных данных и используемых источников информации</w:t>
      </w:r>
    </w:p>
    <w:p>
      <w:pPr>
        <w:pStyle w:val="FirstParagraph"/>
      </w:pPr>
      <w:r>
        <w:t xml:space="preserve">1. Федеральный закон от 22.07.2008 № 123-ФЗ «Технический регламент о требованиях пожарной безопасности» (с изм. и доп., вступ. в силу с 05.01.2024).</w:t>
      </w:r>
    </w:p>
    <w:p>
      <w:pPr>
        <w:pStyle w:val="a0"/>
      </w:pPr>
      <w:r>
        <w:t xml:space="preserve">2. ГОСТ 12.1.004-91. Пожарная безопасность. Общие требования. Измененная редакция, Изм. № 1.</w:t>
      </w:r>
    </w:p>
    <w:p>
      <w:pPr>
        <w:pStyle w:val="a0"/>
      </w:pPr>
      <w:r>
        <w:t xml:space="preserve">3. ГОСТ 12.1.044-89*. Пожаровзрывоопасность веществ и материалов. Номенклатура показателей и методы их определения.</w:t>
      </w:r>
    </w:p>
    <w:p>
      <w:pPr>
        <w:pStyle w:val="a0"/>
      </w:pPr>
      <w:r>
        <w:t xml:space="preserve">4. СП 12.13130.2009. Определение категорий помещений, зданий и наружных установок по взрывопожарной и пожарной опасности (с изм., утв. приказом МЧС России от 9 декабря 2010 г. № 643).</w:t>
      </w:r>
    </w:p>
    <w:p>
      <w:pPr>
        <w:pStyle w:val="a0"/>
      </w:pPr>
      <w:r>
        <w:t xml:space="preserve">5. СП 7.13130.2013. Отопление, вентиляция и кондиционирование. Требования пожарной безопасности.</w:t>
      </w:r>
    </w:p>
    <w:p>
      <w:pPr>
        <w:pStyle w:val="a0"/>
      </w:pPr>
      <w:r>
        <w:t xml:space="preserve">6. СП 364.1311500.2018. Здания и сооружения для обслуживания автомобилей. Требования пожарной безопасности.</w:t>
      </w:r>
    </w:p>
    <w:p>
      <w:pPr>
        <w:pStyle w:val="a0"/>
      </w:pPr>
      <w:r>
        <w:t xml:space="preserve">7. Правила устройства электроустановок (ПУЭ). Шестое издание (утв. Главтехуправлением, Госэнергонадзором Минэнерго СССР 05.10.1979, ред. от 20.06.2003).</w:t>
      </w:r>
    </w:p>
    <w:p>
      <w:pPr>
        <w:pStyle w:val="a0"/>
      </w:pPr>
      <w:r>
        <w:t xml:space="preserve">8. Пожаровзрывоопасность веществ и материалов и средства их тушения. Справ. изд.: в 2 книгах / А.Н. Баратов, А.Я. Корольченко, Г.Н. Кравчук и др. − М.: Химия, 1990. – ISBN 5-7245-0408-1.</w:t>
      </w:r>
    </w:p>
    <w:p>
      <w:pPr>
        <w:pStyle w:val="a0"/>
      </w:pPr>
      <w:r>
        <w:t xml:space="preserve">9. Пожаровзрывоопасность веществ и материалов и средства их тушения. Справочник: в 2-х ч. – 2-е изд., перераб. и доп. / А.Я. Корольченко, Д.А. Корольченко. − М.: Ассоциация «Пожнаука», 2004. − ISBN 5-901283-02-3.</w:t>
      </w:r>
    </w:p>
    <w:p>
      <w:pPr>
        <w:pStyle w:val="a0"/>
      </w:pPr>
      <w:r>
        <w:t xml:space="preserve">10. Пособие по применению СП 12.13130.2009 «Определение категорий помещений, зданий и наружных установок по взрывопожарной и пожарной опасности» / И.М. Смолин, Н.Л. Полетаев, Д.М. Гордиенко, Ю.Н. Шебеко, Е.В. Смирнов. М.: ВНИИПО, 2014. – 147 с.</w:t>
      </w:r>
    </w:p>
    <w:p>
      <w:pPr>
        <w:pStyle w:val="a0"/>
      </w:pPr>
      <w:r>
        <w:t xml:space="preserve">11. Земский Г.Т., Зуйков А.В. Категорирование помещений с наличием летучих жидкостей // Пожарная безопасность. – 2013. – № 1. – С. 39-45.</w:t>
      </w:r>
    </w:p>
    <w:p>
      <w:pPr>
        <w:pStyle w:val="a0"/>
      </w:pPr>
      <w:r>
        <w:t xml:space="preserve">12. Земский Г.Т. Физико-химические и огнеопасные свойства органических химических соединений: справ.: в 2 кн. – М., 2009.</w:t>
      </w:r>
    </w:p>
    <w:p>
      <w:pPr>
        <w:pStyle w:val="a0"/>
      </w:pPr>
      <w:r>
        <w:t xml:space="preserve">13. Земский Г.Т. Огнеопасные свойства неорганических и органических материалов: справ. – М.: ВНИИПО, 2016.</w:t>
      </w:r>
    </w:p>
    <w:p>
      <w:pPr>
        <w:pStyle w:val="a0"/>
      </w:pPr>
      <w:r>
        <w:t xml:space="preserve">14. Кошмаров Ю.А. Прогнозирование опасных факторов пожара в помещении: Учебное пособие. – М.: Академия ГПС МВД России, 2000. – 118 с.</w:t>
      </w:r>
    </w:p>
    <w:p>
      <w:pPr>
        <w:pStyle w:val="a0"/>
      </w:pPr>
      <w:r>
        <w:t xml:space="preserve">15. А.А. Абашкин, А.В. Карпов, Д.В. Ушаков, М.В. Фомин, А.Н. Гилетич, П.М. Комков. Пособие по применению «Методики определения расчётных величин пожарного риска в зданиях, сооружениях и строениях различных классов функциональной пожарной опасности». – М.: ВНИИПО, 2012. – 83 с.</w:t>
      </w:r>
    </w:p>
    <w:bookmarkEnd w:id="109"/>
    <w:bookmarkStart w:id="116" w:name="приложения"/>
    <w:p>
      <w:pPr>
        <w:pStyle w:val="1"/>
      </w:pPr>
      <w:r>
        <w:t xml:space="preserve">Приложения</w:t>
      </w:r>
    </w:p>
    <w:p>
      <w:pPr>
        <w:pStyle w:val="FirstParagraph"/>
      </w:pPr>
      <w:r>
        <w:drawing>
          <wp:inline>
            <wp:extent cx="5759999" cy="8141342"/>
            <wp:effectExtent b="0" l="0" r="0" t="0"/>
            <wp:docPr descr="image" title="" id="111" name="Picture"/>
            <a:graphic>
              <a:graphicData uri="http://schemas.openxmlformats.org/drawingml/2006/picture">
                <pic:pic>
                  <pic:nvPicPr>
                    <pic:cNvPr descr="C:\Users\Надя\AppData\Local\Temp\FireCatCert.jpg" id="112" name="Picture"/>
                    <pic:cNvPicPr>
                      <a:picLocks noChangeArrowheads="1" noChangeAspect="1"/>
                    </pic:cNvPicPr>
                  </pic:nvPicPr>
                  <pic:blipFill>
                    <a:blip r:embed="rId110"/>
                    <a:stretch>
                      <a:fillRect/>
                    </a:stretch>
                  </pic:blipFill>
                  <pic:spPr bwMode="auto">
                    <a:xfrm>
                      <a:off x="0" y="0"/>
                      <a:ext cx="5759999" cy="8141342"/>
                    </a:xfrm>
                    <a:prstGeom prst="rect">
                      <a:avLst/>
                    </a:prstGeom>
                    <a:noFill/>
                    <a:ln w="9525">
                      <a:noFill/>
                      <a:headEnd/>
                      <a:tailEnd/>
                    </a:ln>
                  </pic:spPr>
                </pic:pic>
              </a:graphicData>
            </a:graphic>
          </wp:inline>
        </w:drawing>
      </w:r>
    </w:p>
    <w:p>
      <w:pPr>
        <w:pStyle w:val="a0"/>
      </w:pPr>
      <w:r>
        <w:drawing>
          <wp:inline>
            <wp:extent cx="5759999" cy="8147100"/>
            <wp:effectExtent b="0" l="0" r="0" t="0"/>
            <wp:docPr descr="image" title="" id="114" name="Picture"/>
            <a:graphic>
              <a:graphicData uri="http://schemas.openxmlformats.org/drawingml/2006/picture">
                <pic:pic>
                  <pic:nvPicPr>
                    <pic:cNvPr descr="C:\Users\Надя\AppData\Local\Temp\Svid.jpg" id="115" name="Picture"/>
                    <pic:cNvPicPr>
                      <a:picLocks noChangeArrowheads="1" noChangeAspect="1"/>
                    </pic:cNvPicPr>
                  </pic:nvPicPr>
                  <pic:blipFill>
                    <a:blip r:embed="rId113"/>
                    <a:stretch>
                      <a:fillRect/>
                    </a:stretch>
                  </pic:blipFill>
                  <pic:spPr bwMode="auto">
                    <a:xfrm>
                      <a:off x="0" y="0"/>
                      <a:ext cx="5759999" cy="8147100"/>
                    </a:xfrm>
                    <a:prstGeom prst="rect">
                      <a:avLst/>
                    </a:prstGeom>
                    <a:noFill/>
                    <a:ln w="9525">
                      <a:noFill/>
                      <a:headEnd/>
                      <a:tailEnd/>
                    </a:ln>
                  </pic:spPr>
                </pic:pic>
              </a:graphicData>
            </a:graphic>
          </wp:inline>
        </w:drawing>
      </w:r>
    </w:p>
    <w:bookmarkEnd w:id="116"/>
    <w:sectPr w:rsidR="00E5270B" w:rsidRPr="00FE3377" w:rsidSect="008E3BF6">
      <w:footerReference r:id="rId10" w:type="default"/>
      <w:footerReference r:id="rId9" w:type="first"/>
      <w:pgSz w:code="9" w:h="16840" w:w="11907"/>
      <w:pgMar w:bottom="1418" w:footer="284" w:gutter="0" w:header="680" w:left="1418" w:right="567" w:top="567"/>
      <w:pgBorders>
        <w:top w:color="auto" w:space="13" w:sz="18" w:val="single"/>
        <w:left w:color="auto" w:space="13" w:sz="18" w:val="single"/>
        <w:bottom w:color="auto" w:space="0" w:sz="18" w:val="single"/>
        <w:right w:color="auto" w:space="13" w:sz="18" w:val="single"/>
      </w:pgBorders>
      <w:cols w:space="720"/>
      <w:titlePg/>
      <w:docGrid w:linePitch="299"/>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77"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0" w:type="dxa"/>
        <w:right w:w="0" w:type="dxa"/>
      </w:tblCellMar>
      <w:tblLook w:val="01E0" w:firstRow="1" w:lastRow="1" w:firstColumn="1" w:lastColumn="1" w:noHBand="0" w:noVBand="0"/>
    </w:tblPr>
    <w:tblGrid>
      <w:gridCol w:w="382"/>
      <w:gridCol w:w="567"/>
      <w:gridCol w:w="1304"/>
      <w:gridCol w:w="851"/>
      <w:gridCol w:w="567"/>
      <w:gridCol w:w="6239"/>
      <w:gridCol w:w="567"/>
    </w:tblGrid>
    <w:tr w:rsidR="006F635A" w:rsidRPr="006F635A" w14:paraId="3F8B5E96" w14:textId="77777777" w:rsidTr="006D54B3">
      <w:trPr>
        <w:cantSplit/>
        <w:trHeight w:hRule="exact" w:val="284"/>
        <w:jc w:val="center"/>
      </w:trPr>
      <w:tc>
        <w:tcPr>
          <w:tcW w:w="382" w:type="dxa"/>
          <w:tcBorders>
            <w:top w:val="single" w:sz="18" w:space="0" w:color="auto"/>
            <w:left w:val="nil"/>
            <w:bottom w:val="single" w:sz="4" w:space="0" w:color="auto"/>
            <w:right w:val="single" w:sz="18" w:space="0" w:color="auto"/>
          </w:tcBorders>
          <w:vAlign w:val="center"/>
        </w:tcPr>
        <w:p w14:paraId="1C0D3A09" w14:textId="77777777" w:rsidR="006F635A" w:rsidRPr="006F635A" w:rsidRDefault="006F635A" w:rsidP="006F635A">
          <w:pPr>
            <w:spacing w:after="0"/>
            <w:jc w:val="center"/>
            <w:rPr>
              <w:rFonts w:ascii="Calibri Light" w:eastAsia="Times New Roman" w:hAnsi="Calibri Light" w:cs="Arial"/>
              <w:b/>
              <w:i/>
              <w:sz w:val="18"/>
              <w:szCs w:val="18"/>
              <w:lang w:eastAsia="ru-RU"/>
            </w:rPr>
          </w:pPr>
        </w:p>
      </w:tc>
      <w:tc>
        <w:tcPr>
          <w:tcW w:w="567" w:type="dxa"/>
          <w:tcBorders>
            <w:top w:val="single" w:sz="18" w:space="0" w:color="auto"/>
            <w:left w:val="single" w:sz="18" w:space="0" w:color="auto"/>
            <w:bottom w:val="single" w:sz="4" w:space="0" w:color="auto"/>
            <w:right w:val="single" w:sz="18" w:space="0" w:color="auto"/>
          </w:tcBorders>
          <w:vAlign w:val="center"/>
        </w:tcPr>
        <w:p w14:paraId="42783107" w14:textId="77777777" w:rsidR="006F635A" w:rsidRPr="006F635A" w:rsidRDefault="006F635A" w:rsidP="006F635A">
          <w:pPr>
            <w:spacing w:after="0"/>
            <w:jc w:val="center"/>
            <w:rPr>
              <w:rFonts w:ascii="Calibri Light" w:eastAsia="Times New Roman" w:hAnsi="Calibri Light" w:cs="Arial"/>
              <w:b/>
              <w:i/>
              <w:sz w:val="18"/>
              <w:szCs w:val="18"/>
              <w:lang w:eastAsia="ru-RU"/>
            </w:rPr>
          </w:pPr>
        </w:p>
      </w:tc>
      <w:tc>
        <w:tcPr>
          <w:tcW w:w="1304" w:type="dxa"/>
          <w:tcBorders>
            <w:top w:val="single" w:sz="18" w:space="0" w:color="auto"/>
            <w:left w:val="single" w:sz="18" w:space="0" w:color="auto"/>
            <w:bottom w:val="single" w:sz="4" w:space="0" w:color="auto"/>
            <w:right w:val="single" w:sz="18" w:space="0" w:color="auto"/>
          </w:tcBorders>
          <w:vAlign w:val="center"/>
        </w:tcPr>
        <w:p w14:paraId="17FDB781" w14:textId="77777777" w:rsidR="006F635A" w:rsidRPr="006F635A" w:rsidRDefault="006F635A" w:rsidP="006F635A">
          <w:pPr>
            <w:spacing w:after="0"/>
            <w:jc w:val="center"/>
            <w:rPr>
              <w:rFonts w:ascii="Calibri Light" w:eastAsia="Times New Roman" w:hAnsi="Calibri Light" w:cs="Arial"/>
              <w:b/>
              <w:i/>
              <w:sz w:val="18"/>
              <w:szCs w:val="18"/>
              <w:lang w:eastAsia="ru-RU"/>
            </w:rPr>
          </w:pPr>
        </w:p>
      </w:tc>
      <w:tc>
        <w:tcPr>
          <w:tcW w:w="851" w:type="dxa"/>
          <w:tcBorders>
            <w:top w:val="single" w:sz="18" w:space="0" w:color="auto"/>
            <w:left w:val="single" w:sz="18" w:space="0" w:color="auto"/>
            <w:bottom w:val="single" w:sz="4" w:space="0" w:color="auto"/>
            <w:right w:val="single" w:sz="18" w:space="0" w:color="auto"/>
          </w:tcBorders>
          <w:vAlign w:val="center"/>
        </w:tcPr>
        <w:p w14:paraId="7B75A128" w14:textId="77777777" w:rsidR="006F635A" w:rsidRPr="006F635A" w:rsidRDefault="006F635A" w:rsidP="006F635A">
          <w:pPr>
            <w:spacing w:after="0"/>
            <w:jc w:val="center"/>
            <w:rPr>
              <w:rFonts w:ascii="Calibri Light" w:eastAsia="Times New Roman" w:hAnsi="Calibri Light" w:cs="Arial"/>
              <w:b/>
              <w:i/>
              <w:sz w:val="18"/>
              <w:szCs w:val="18"/>
              <w:lang w:eastAsia="ru-RU"/>
            </w:rPr>
          </w:pPr>
        </w:p>
      </w:tc>
      <w:tc>
        <w:tcPr>
          <w:tcW w:w="567" w:type="dxa"/>
          <w:tcBorders>
            <w:top w:val="single" w:sz="18" w:space="0" w:color="auto"/>
            <w:left w:val="single" w:sz="18" w:space="0" w:color="auto"/>
            <w:bottom w:val="single" w:sz="4" w:space="0" w:color="auto"/>
            <w:right w:val="single" w:sz="18" w:space="0" w:color="auto"/>
          </w:tcBorders>
          <w:vAlign w:val="center"/>
        </w:tcPr>
        <w:p w14:paraId="6AB47ECE" w14:textId="77777777" w:rsidR="006F635A" w:rsidRPr="006F635A" w:rsidRDefault="006F635A" w:rsidP="006F635A">
          <w:pPr>
            <w:spacing w:after="0"/>
            <w:jc w:val="center"/>
            <w:rPr>
              <w:rFonts w:ascii="Calibri Light" w:eastAsia="Times New Roman" w:hAnsi="Calibri Light" w:cs="Arial"/>
              <w:b/>
              <w:i/>
              <w:sz w:val="18"/>
              <w:szCs w:val="18"/>
              <w:lang w:eastAsia="ru-RU"/>
            </w:rPr>
          </w:pPr>
        </w:p>
      </w:tc>
      <w:tc>
        <w:tcPr>
          <w:tcW w:w="6239" w:type="dxa"/>
          <w:vMerge w:val="restart"/>
          <w:tcBorders>
            <w:top w:val="single" w:sz="18" w:space="0" w:color="auto"/>
            <w:left w:val="single" w:sz="18" w:space="0" w:color="auto"/>
            <w:bottom w:val="nil"/>
            <w:right w:val="single" w:sz="18" w:space="0" w:color="auto"/>
          </w:tcBorders>
          <w:vAlign w:val="center"/>
        </w:tcPr>
        <w:p w14:paraId="297187AB" w14:textId="77777777" w:rsidR="006F635A" w:rsidRPr="006F635A" w:rsidRDefault="006F635A" w:rsidP="006F635A">
          <w:pPr>
            <w:spacing w:after="0"/>
            <w:jc w:val="center"/>
            <w:rPr>
              <w:rFonts w:ascii="Calibri Light" w:eastAsia="Times New Roman" w:hAnsi="Calibri Light" w:cs="Arial"/>
              <w:b/>
              <w:i/>
              <w:sz w:val="28"/>
              <w:szCs w:val="18"/>
              <w:lang w:eastAsia="ru-RU"/>
            </w:rPr>
          </w:pPr>
          <w:r w:rsidRPr="006F635A">
            <w:rPr>
              <w:rFonts w:ascii="Calibri Light" w:eastAsia="Times New Roman" w:hAnsi="Calibri Light" w:cs="Arial"/>
              <w:b/>
              <w:i/>
              <w:sz w:val="28"/>
              <w:szCs w:val="18"/>
              <w:lang w:eastAsia="ru-RU"/>
            </w:rPr>
            <w:t>Определение категорий. ПЗ</w:t>
          </w:r>
        </w:p>
      </w:tc>
      <w:tc>
        <w:tcPr>
          <w:tcW w:w="567" w:type="dxa"/>
          <w:tcBorders>
            <w:top w:val="single" w:sz="18" w:space="0" w:color="auto"/>
            <w:left w:val="single" w:sz="18" w:space="0" w:color="auto"/>
            <w:bottom w:val="single" w:sz="18" w:space="0" w:color="auto"/>
            <w:right w:val="nil"/>
          </w:tcBorders>
          <w:vAlign w:val="center"/>
        </w:tcPr>
        <w:p w14:paraId="036E7501" w14:textId="77777777" w:rsidR="006F635A" w:rsidRPr="006F635A" w:rsidRDefault="006F635A" w:rsidP="006F635A">
          <w:pPr>
            <w:spacing w:after="0"/>
            <w:jc w:val="center"/>
            <w:rPr>
              <w:rFonts w:ascii="Calibri Light" w:eastAsia="Times New Roman" w:hAnsi="Calibri Light" w:cs="Arial"/>
              <w:b/>
              <w:i/>
              <w:sz w:val="18"/>
              <w:szCs w:val="18"/>
              <w:lang w:eastAsia="ru-RU"/>
            </w:rPr>
          </w:pPr>
          <w:r w:rsidRPr="006F635A">
            <w:rPr>
              <w:rFonts w:ascii="Calibri Light" w:eastAsia="Times New Roman" w:hAnsi="Calibri Light" w:cs="Arial"/>
              <w:b/>
              <w:i/>
              <w:sz w:val="18"/>
              <w:szCs w:val="18"/>
              <w:lang w:eastAsia="ru-RU"/>
            </w:rPr>
            <w:t>Лист</w:t>
          </w:r>
        </w:p>
      </w:tc>
    </w:tr>
    <w:tr w:rsidR="006F635A" w:rsidRPr="006F635A" w14:paraId="59383B08" w14:textId="77777777" w:rsidTr="006D54B3">
      <w:trPr>
        <w:cantSplit/>
        <w:trHeight w:hRule="exact" w:val="284"/>
        <w:jc w:val="center"/>
      </w:trPr>
      <w:tc>
        <w:tcPr>
          <w:tcW w:w="382" w:type="dxa"/>
          <w:tcBorders>
            <w:top w:val="single" w:sz="4" w:space="0" w:color="auto"/>
            <w:left w:val="nil"/>
            <w:bottom w:val="single" w:sz="18" w:space="0" w:color="auto"/>
            <w:right w:val="single" w:sz="18" w:space="0" w:color="auto"/>
          </w:tcBorders>
          <w:vAlign w:val="center"/>
        </w:tcPr>
        <w:p w14:paraId="60B8754F" w14:textId="77777777" w:rsidR="006F635A" w:rsidRPr="006F635A" w:rsidRDefault="006F635A" w:rsidP="006F635A">
          <w:pPr>
            <w:spacing w:after="0"/>
            <w:jc w:val="center"/>
            <w:rPr>
              <w:rFonts w:ascii="Calibri Light" w:eastAsia="Times New Roman" w:hAnsi="Calibri Light" w:cs="Arial"/>
              <w:b/>
              <w:i/>
              <w:sz w:val="18"/>
              <w:szCs w:val="18"/>
              <w:lang w:eastAsia="ru-RU"/>
            </w:rPr>
          </w:pPr>
        </w:p>
      </w:tc>
      <w:tc>
        <w:tcPr>
          <w:tcW w:w="567" w:type="dxa"/>
          <w:tcBorders>
            <w:top w:val="single" w:sz="4" w:space="0" w:color="auto"/>
            <w:left w:val="single" w:sz="18" w:space="0" w:color="auto"/>
            <w:bottom w:val="single" w:sz="18" w:space="0" w:color="auto"/>
            <w:right w:val="single" w:sz="18" w:space="0" w:color="auto"/>
          </w:tcBorders>
          <w:vAlign w:val="center"/>
        </w:tcPr>
        <w:p w14:paraId="1F794938" w14:textId="77777777" w:rsidR="006F635A" w:rsidRPr="006F635A" w:rsidRDefault="006F635A" w:rsidP="006F635A">
          <w:pPr>
            <w:spacing w:after="0"/>
            <w:jc w:val="center"/>
            <w:rPr>
              <w:rFonts w:ascii="Calibri Light" w:eastAsia="Times New Roman" w:hAnsi="Calibri Light" w:cs="Arial"/>
              <w:b/>
              <w:i/>
              <w:sz w:val="18"/>
              <w:szCs w:val="18"/>
              <w:lang w:eastAsia="ru-RU"/>
            </w:rPr>
          </w:pPr>
        </w:p>
      </w:tc>
      <w:tc>
        <w:tcPr>
          <w:tcW w:w="1304" w:type="dxa"/>
          <w:tcBorders>
            <w:top w:val="single" w:sz="4" w:space="0" w:color="auto"/>
            <w:left w:val="single" w:sz="18" w:space="0" w:color="auto"/>
            <w:bottom w:val="single" w:sz="18" w:space="0" w:color="auto"/>
            <w:right w:val="single" w:sz="18" w:space="0" w:color="auto"/>
          </w:tcBorders>
          <w:vAlign w:val="center"/>
        </w:tcPr>
        <w:p w14:paraId="0AFAA3F1" w14:textId="77777777" w:rsidR="006F635A" w:rsidRPr="006F635A" w:rsidRDefault="006F635A" w:rsidP="006F635A">
          <w:pPr>
            <w:spacing w:after="0"/>
            <w:jc w:val="center"/>
            <w:rPr>
              <w:rFonts w:ascii="Calibri Light" w:eastAsia="Times New Roman" w:hAnsi="Calibri Light" w:cs="Arial"/>
              <w:b/>
              <w:i/>
              <w:sz w:val="18"/>
              <w:szCs w:val="18"/>
              <w:lang w:eastAsia="ru-RU"/>
            </w:rPr>
          </w:pPr>
        </w:p>
      </w:tc>
      <w:tc>
        <w:tcPr>
          <w:tcW w:w="851" w:type="dxa"/>
          <w:tcBorders>
            <w:top w:val="single" w:sz="4" w:space="0" w:color="auto"/>
            <w:left w:val="single" w:sz="18" w:space="0" w:color="auto"/>
            <w:bottom w:val="single" w:sz="18" w:space="0" w:color="auto"/>
            <w:right w:val="single" w:sz="18" w:space="0" w:color="auto"/>
          </w:tcBorders>
          <w:vAlign w:val="center"/>
        </w:tcPr>
        <w:p w14:paraId="4C7009AD" w14:textId="77777777" w:rsidR="006F635A" w:rsidRPr="006F635A" w:rsidRDefault="006F635A" w:rsidP="006F635A">
          <w:pPr>
            <w:spacing w:after="0"/>
            <w:jc w:val="center"/>
            <w:rPr>
              <w:rFonts w:ascii="Calibri Light" w:eastAsia="Times New Roman" w:hAnsi="Calibri Light" w:cs="Arial"/>
              <w:b/>
              <w:i/>
              <w:sz w:val="18"/>
              <w:szCs w:val="18"/>
              <w:lang w:eastAsia="ru-RU"/>
            </w:rPr>
          </w:pPr>
        </w:p>
      </w:tc>
      <w:tc>
        <w:tcPr>
          <w:tcW w:w="567" w:type="dxa"/>
          <w:tcBorders>
            <w:top w:val="single" w:sz="4" w:space="0" w:color="auto"/>
            <w:left w:val="single" w:sz="18" w:space="0" w:color="auto"/>
            <w:bottom w:val="single" w:sz="18" w:space="0" w:color="auto"/>
            <w:right w:val="single" w:sz="18" w:space="0" w:color="auto"/>
          </w:tcBorders>
          <w:vAlign w:val="center"/>
        </w:tcPr>
        <w:p w14:paraId="01300360" w14:textId="77777777" w:rsidR="006F635A" w:rsidRPr="006F635A" w:rsidRDefault="006F635A" w:rsidP="006F635A">
          <w:pPr>
            <w:spacing w:after="0"/>
            <w:jc w:val="center"/>
            <w:rPr>
              <w:rFonts w:ascii="Calibri Light" w:eastAsia="Times New Roman" w:hAnsi="Calibri Light" w:cs="Arial"/>
              <w:b/>
              <w:i/>
              <w:sz w:val="18"/>
              <w:szCs w:val="18"/>
              <w:lang w:eastAsia="ru-RU"/>
            </w:rPr>
          </w:pPr>
        </w:p>
      </w:tc>
      <w:tc>
        <w:tcPr>
          <w:tcW w:w="6239" w:type="dxa"/>
          <w:vMerge/>
          <w:tcBorders>
            <w:top w:val="single" w:sz="8" w:space="0" w:color="auto"/>
            <w:left w:val="single" w:sz="18" w:space="0" w:color="auto"/>
            <w:bottom w:val="nil"/>
            <w:right w:val="single" w:sz="18" w:space="0" w:color="auto"/>
          </w:tcBorders>
        </w:tcPr>
        <w:p w14:paraId="29FE1EF7" w14:textId="77777777" w:rsidR="006F635A" w:rsidRPr="006F635A" w:rsidRDefault="006F635A" w:rsidP="006F635A">
          <w:pPr>
            <w:spacing w:after="0"/>
            <w:jc w:val="center"/>
            <w:rPr>
              <w:rFonts w:ascii="Calibri Light" w:eastAsia="Times New Roman" w:hAnsi="Calibri Light" w:cs="Times New Roman"/>
              <w:b/>
              <w:i/>
              <w:sz w:val="18"/>
              <w:szCs w:val="18"/>
              <w:lang w:eastAsia="ru-RU"/>
            </w:rPr>
          </w:pPr>
        </w:p>
      </w:tc>
      <w:tc>
        <w:tcPr>
          <w:tcW w:w="567" w:type="dxa"/>
          <w:vMerge w:val="restart"/>
          <w:tcBorders>
            <w:top w:val="single" w:sz="18" w:space="0" w:color="auto"/>
            <w:left w:val="single" w:sz="18" w:space="0" w:color="auto"/>
            <w:bottom w:val="nil"/>
            <w:right w:val="nil"/>
          </w:tcBorders>
          <w:vAlign w:val="center"/>
        </w:tcPr>
        <w:p w14:paraId="14F6C034" w14:textId="77777777" w:rsidR="006F635A" w:rsidRPr="006F635A" w:rsidRDefault="006F635A" w:rsidP="006F635A">
          <w:pPr>
            <w:spacing w:after="0"/>
            <w:contextualSpacing/>
            <w:jc w:val="center"/>
            <w:rPr>
              <w:rFonts w:ascii="Calibri Light" w:eastAsia="Times New Roman" w:hAnsi="Calibri Light" w:cs="Arial"/>
              <w:b/>
              <w:i/>
              <w:sz w:val="18"/>
              <w:szCs w:val="18"/>
              <w:lang w:eastAsia="ru-RU"/>
            </w:rPr>
          </w:pPr>
          <w:r w:rsidRPr="006F635A">
            <w:rPr>
              <w:rFonts w:ascii="Calibri Light" w:eastAsia="Times New Roman" w:hAnsi="Calibri Light" w:cs="Arial"/>
              <w:b/>
              <w:i/>
              <w:sz w:val="18"/>
              <w:szCs w:val="18"/>
              <w:lang w:eastAsia="ru-RU"/>
            </w:rPr>
            <w:fldChar w:fldCharType="begin"/>
          </w:r>
          <w:r w:rsidRPr="006F635A">
            <w:rPr>
              <w:rFonts w:ascii="Calibri Light" w:eastAsia="Times New Roman" w:hAnsi="Calibri Light" w:cs="Arial"/>
              <w:b/>
              <w:i/>
              <w:sz w:val="18"/>
              <w:szCs w:val="18"/>
              <w:lang w:eastAsia="ru-RU"/>
            </w:rPr>
            <w:instrText xml:space="preserve"> PAGE   \* MERGEFORMAT </w:instrText>
          </w:r>
          <w:r w:rsidRPr="006F635A">
            <w:rPr>
              <w:rFonts w:ascii="Calibri Light" w:eastAsia="Times New Roman" w:hAnsi="Calibri Light" w:cs="Arial"/>
              <w:b/>
              <w:i/>
              <w:sz w:val="18"/>
              <w:szCs w:val="18"/>
              <w:lang w:eastAsia="ru-RU"/>
            </w:rPr>
            <w:fldChar w:fldCharType="separate"/>
          </w:r>
          <w:r w:rsidR="008E3BF6">
            <w:rPr>
              <w:rFonts w:ascii="Calibri Light" w:eastAsia="Times New Roman" w:hAnsi="Calibri Light" w:cs="Arial"/>
              <w:b/>
              <w:i/>
              <w:noProof/>
              <w:sz w:val="18"/>
              <w:szCs w:val="18"/>
              <w:lang w:eastAsia="ru-RU"/>
            </w:rPr>
            <w:t>3</w:t>
          </w:r>
          <w:r w:rsidRPr="006F635A">
            <w:rPr>
              <w:rFonts w:ascii="Calibri Light" w:eastAsia="Times New Roman" w:hAnsi="Calibri Light" w:cs="Arial"/>
              <w:b/>
              <w:i/>
              <w:sz w:val="18"/>
              <w:szCs w:val="18"/>
              <w:lang w:eastAsia="ru-RU"/>
            </w:rPr>
            <w:fldChar w:fldCharType="end"/>
          </w:r>
        </w:p>
      </w:tc>
    </w:tr>
    <w:tr w:rsidR="006F635A" w:rsidRPr="006F635A" w14:paraId="46AF86C1" w14:textId="77777777" w:rsidTr="006D54B3">
      <w:trPr>
        <w:cantSplit/>
        <w:trHeight w:hRule="exact" w:val="284"/>
        <w:jc w:val="center"/>
      </w:trPr>
      <w:tc>
        <w:tcPr>
          <w:tcW w:w="382" w:type="dxa"/>
          <w:tcBorders>
            <w:top w:val="single" w:sz="18" w:space="0" w:color="auto"/>
            <w:left w:val="nil"/>
            <w:bottom w:val="nil"/>
            <w:right w:val="single" w:sz="18" w:space="0" w:color="auto"/>
          </w:tcBorders>
          <w:vAlign w:val="center"/>
        </w:tcPr>
        <w:p w14:paraId="5D3D8393" w14:textId="77777777" w:rsidR="006F635A" w:rsidRPr="006F635A" w:rsidRDefault="006F635A" w:rsidP="006F635A">
          <w:pPr>
            <w:spacing w:after="0"/>
            <w:jc w:val="center"/>
            <w:rPr>
              <w:rFonts w:ascii="Calibri Light" w:eastAsia="Times New Roman" w:hAnsi="Calibri Light" w:cs="Arial"/>
              <w:b/>
              <w:i/>
              <w:spacing w:val="-4"/>
              <w:sz w:val="18"/>
              <w:szCs w:val="18"/>
              <w:lang w:eastAsia="ru-RU"/>
            </w:rPr>
          </w:pPr>
          <w:r w:rsidRPr="006F635A">
            <w:rPr>
              <w:rFonts w:ascii="Calibri Light" w:eastAsia="Times New Roman" w:hAnsi="Calibri Light" w:cs="Arial"/>
              <w:b/>
              <w:i/>
              <w:spacing w:val="-4"/>
              <w:sz w:val="18"/>
              <w:szCs w:val="18"/>
              <w:lang w:eastAsia="ru-RU"/>
            </w:rPr>
            <w:t>Изм.</w:t>
          </w:r>
        </w:p>
      </w:tc>
      <w:tc>
        <w:tcPr>
          <w:tcW w:w="567" w:type="dxa"/>
          <w:tcBorders>
            <w:top w:val="single" w:sz="18" w:space="0" w:color="auto"/>
            <w:left w:val="single" w:sz="18" w:space="0" w:color="auto"/>
            <w:bottom w:val="nil"/>
            <w:right w:val="single" w:sz="18" w:space="0" w:color="auto"/>
          </w:tcBorders>
          <w:vAlign w:val="center"/>
        </w:tcPr>
        <w:p w14:paraId="1BED8282" w14:textId="77777777" w:rsidR="006F635A" w:rsidRPr="006F635A" w:rsidRDefault="006F635A" w:rsidP="006F635A">
          <w:pPr>
            <w:spacing w:after="0"/>
            <w:jc w:val="center"/>
            <w:rPr>
              <w:rFonts w:ascii="Calibri Light" w:eastAsia="Times New Roman" w:hAnsi="Calibri Light" w:cs="Arial"/>
              <w:b/>
              <w:i/>
              <w:sz w:val="18"/>
              <w:szCs w:val="18"/>
              <w:lang w:eastAsia="ru-RU"/>
            </w:rPr>
          </w:pPr>
          <w:r w:rsidRPr="006F635A">
            <w:rPr>
              <w:rFonts w:ascii="Calibri Light" w:eastAsia="Times New Roman" w:hAnsi="Calibri Light" w:cs="Arial"/>
              <w:b/>
              <w:i/>
              <w:sz w:val="18"/>
              <w:szCs w:val="18"/>
              <w:lang w:eastAsia="ru-RU"/>
            </w:rPr>
            <w:t>Лист</w:t>
          </w:r>
        </w:p>
      </w:tc>
      <w:tc>
        <w:tcPr>
          <w:tcW w:w="1304" w:type="dxa"/>
          <w:tcBorders>
            <w:top w:val="single" w:sz="18" w:space="0" w:color="auto"/>
            <w:left w:val="single" w:sz="18" w:space="0" w:color="auto"/>
            <w:bottom w:val="nil"/>
            <w:right w:val="single" w:sz="18" w:space="0" w:color="auto"/>
          </w:tcBorders>
          <w:vAlign w:val="center"/>
        </w:tcPr>
        <w:p w14:paraId="01B4827B" w14:textId="77777777" w:rsidR="006F635A" w:rsidRPr="006F635A" w:rsidRDefault="006F635A" w:rsidP="006F635A">
          <w:pPr>
            <w:spacing w:after="0"/>
            <w:jc w:val="center"/>
            <w:rPr>
              <w:rFonts w:ascii="Calibri Light" w:eastAsia="Times New Roman" w:hAnsi="Calibri Light" w:cs="Arial"/>
              <w:b/>
              <w:i/>
              <w:sz w:val="18"/>
              <w:szCs w:val="18"/>
              <w:lang w:eastAsia="ru-RU"/>
            </w:rPr>
          </w:pPr>
          <w:r w:rsidRPr="006F635A">
            <w:rPr>
              <w:rFonts w:ascii="Calibri Light" w:eastAsia="Times New Roman" w:hAnsi="Calibri Light" w:cs="Arial"/>
              <w:b/>
              <w:i/>
              <w:sz w:val="18"/>
              <w:szCs w:val="18"/>
              <w:lang w:eastAsia="ru-RU"/>
            </w:rPr>
            <w:t>№ докум.</w:t>
          </w:r>
        </w:p>
      </w:tc>
      <w:tc>
        <w:tcPr>
          <w:tcW w:w="851" w:type="dxa"/>
          <w:tcBorders>
            <w:top w:val="single" w:sz="18" w:space="0" w:color="auto"/>
            <w:left w:val="single" w:sz="18" w:space="0" w:color="auto"/>
            <w:bottom w:val="nil"/>
            <w:right w:val="single" w:sz="18" w:space="0" w:color="auto"/>
          </w:tcBorders>
          <w:vAlign w:val="center"/>
        </w:tcPr>
        <w:p w14:paraId="04FE6694" w14:textId="77777777" w:rsidR="006F635A" w:rsidRPr="006F635A" w:rsidRDefault="006F635A" w:rsidP="006F635A">
          <w:pPr>
            <w:spacing w:after="0"/>
            <w:jc w:val="center"/>
            <w:rPr>
              <w:rFonts w:ascii="Calibri Light" w:eastAsia="Times New Roman" w:hAnsi="Calibri Light" w:cs="Arial"/>
              <w:b/>
              <w:i/>
              <w:sz w:val="18"/>
              <w:szCs w:val="18"/>
              <w:lang w:eastAsia="ru-RU"/>
            </w:rPr>
          </w:pPr>
          <w:r w:rsidRPr="006F635A">
            <w:rPr>
              <w:rFonts w:ascii="Calibri Light" w:eastAsia="Times New Roman" w:hAnsi="Calibri Light" w:cs="Arial"/>
              <w:b/>
              <w:i/>
              <w:sz w:val="18"/>
              <w:szCs w:val="18"/>
              <w:lang w:eastAsia="ru-RU"/>
            </w:rPr>
            <w:t>Подп.</w:t>
          </w:r>
        </w:p>
      </w:tc>
      <w:tc>
        <w:tcPr>
          <w:tcW w:w="567" w:type="dxa"/>
          <w:tcBorders>
            <w:top w:val="single" w:sz="18" w:space="0" w:color="auto"/>
            <w:left w:val="single" w:sz="18" w:space="0" w:color="auto"/>
            <w:bottom w:val="nil"/>
            <w:right w:val="single" w:sz="18" w:space="0" w:color="auto"/>
          </w:tcBorders>
          <w:vAlign w:val="center"/>
        </w:tcPr>
        <w:p w14:paraId="2EB1F098" w14:textId="77777777" w:rsidR="006F635A" w:rsidRPr="006F635A" w:rsidRDefault="006F635A" w:rsidP="006F635A">
          <w:pPr>
            <w:spacing w:after="0"/>
            <w:jc w:val="center"/>
            <w:rPr>
              <w:rFonts w:ascii="Calibri Light" w:eastAsia="Times New Roman" w:hAnsi="Calibri Light" w:cs="Arial"/>
              <w:b/>
              <w:i/>
              <w:sz w:val="18"/>
              <w:szCs w:val="18"/>
              <w:lang w:eastAsia="ru-RU"/>
            </w:rPr>
          </w:pPr>
          <w:r w:rsidRPr="006F635A">
            <w:rPr>
              <w:rFonts w:ascii="Calibri Light" w:eastAsia="Times New Roman" w:hAnsi="Calibri Light" w:cs="Arial"/>
              <w:b/>
              <w:i/>
              <w:sz w:val="18"/>
              <w:szCs w:val="18"/>
              <w:lang w:eastAsia="ru-RU"/>
            </w:rPr>
            <w:t>Дата</w:t>
          </w:r>
        </w:p>
      </w:tc>
      <w:tc>
        <w:tcPr>
          <w:tcW w:w="6239" w:type="dxa"/>
          <w:vMerge/>
          <w:tcBorders>
            <w:top w:val="single" w:sz="8" w:space="0" w:color="auto"/>
            <w:left w:val="single" w:sz="18" w:space="0" w:color="auto"/>
            <w:bottom w:val="nil"/>
            <w:right w:val="single" w:sz="18" w:space="0" w:color="auto"/>
          </w:tcBorders>
        </w:tcPr>
        <w:p w14:paraId="7B67C3DC" w14:textId="77777777" w:rsidR="006F635A" w:rsidRPr="006F635A" w:rsidRDefault="006F635A" w:rsidP="006F635A">
          <w:pPr>
            <w:spacing w:after="0"/>
            <w:jc w:val="center"/>
            <w:rPr>
              <w:rFonts w:ascii="Calibri Light" w:eastAsia="Times New Roman" w:hAnsi="Calibri Light" w:cs="Times New Roman"/>
              <w:b/>
              <w:i/>
              <w:sz w:val="18"/>
              <w:szCs w:val="18"/>
              <w:lang w:eastAsia="ru-RU"/>
            </w:rPr>
          </w:pPr>
        </w:p>
      </w:tc>
      <w:tc>
        <w:tcPr>
          <w:tcW w:w="567" w:type="dxa"/>
          <w:vMerge/>
          <w:tcBorders>
            <w:top w:val="single" w:sz="18" w:space="0" w:color="auto"/>
            <w:left w:val="single" w:sz="18" w:space="0" w:color="auto"/>
            <w:bottom w:val="nil"/>
            <w:right w:val="nil"/>
          </w:tcBorders>
        </w:tcPr>
        <w:p w14:paraId="56D1B8E8" w14:textId="77777777" w:rsidR="006F635A" w:rsidRPr="006F635A" w:rsidRDefault="006F635A" w:rsidP="006F635A">
          <w:pPr>
            <w:spacing w:after="0"/>
            <w:jc w:val="center"/>
            <w:rPr>
              <w:rFonts w:ascii="Calibri Light" w:eastAsia="Times New Roman" w:hAnsi="Calibri Light" w:cs="Times New Roman"/>
              <w:b/>
              <w:i/>
              <w:sz w:val="18"/>
              <w:szCs w:val="18"/>
              <w:lang w:eastAsia="ru-RU"/>
            </w:rPr>
          </w:pPr>
        </w:p>
      </w:tc>
    </w:tr>
  </w:tbl>
  <w:p w14:paraId="56D17839" w14:textId="77777777" w:rsidR="001C4EF7" w:rsidRPr="006F635A" w:rsidRDefault="001C4EF7" w:rsidP="006F635A">
    <w:pPr>
      <w:pStyle w:val="af2"/>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11"/>
      <w:tblpPr w:leftFromText="181" w:rightFromText="181" w:vertAnchor="page" w:tblpXSpec="center" w:tblpY="14289"/>
      <w:tblW w:w="10433" w:type="dxa"/>
      <w:tblLayout w:type="fixed"/>
      <w:tblCellMar>
        <w:left w:w="0" w:type="dxa"/>
        <w:right w:w="0" w:type="dxa"/>
      </w:tblCellMar>
      <w:tblLook w:val="04A0" w:firstRow="1" w:lastRow="0" w:firstColumn="1" w:lastColumn="0" w:noHBand="0" w:noVBand="1"/>
    </w:tblPr>
    <w:tblGrid>
      <w:gridCol w:w="397"/>
      <w:gridCol w:w="565"/>
      <w:gridCol w:w="1297"/>
      <w:gridCol w:w="846"/>
      <w:gridCol w:w="564"/>
      <w:gridCol w:w="3946"/>
      <w:gridCol w:w="281"/>
      <w:gridCol w:w="282"/>
      <w:gridCol w:w="282"/>
      <w:gridCol w:w="846"/>
      <w:gridCol w:w="1127"/>
    </w:tblGrid>
    <w:tr w:rsidR="006F635A" w:rsidRPr="006F635A" w14:paraId="10C17299" w14:textId="77777777" w:rsidTr="006F3259">
      <w:trPr>
        <w:cantSplit/>
        <w:trHeight w:hRule="exact" w:val="284"/>
      </w:trPr>
      <w:tc>
        <w:tcPr>
          <w:tcW w:w="397" w:type="dxa"/>
          <w:tcBorders>
            <w:top w:val="single" w:sz="18" w:space="0" w:color="auto"/>
            <w:left w:val="nil"/>
            <w:bottom w:val="single" w:sz="4" w:space="0" w:color="auto"/>
            <w:right w:val="single" w:sz="18" w:space="0" w:color="auto"/>
          </w:tcBorders>
          <w:vAlign w:val="center"/>
        </w:tcPr>
        <w:p w14:paraId="779D4F37" w14:textId="77777777" w:rsidR="006F635A" w:rsidRPr="006F635A" w:rsidRDefault="006F635A" w:rsidP="006F3259">
          <w:pPr>
            <w:jc w:val="center"/>
            <w:rPr>
              <w:rFonts w:ascii="Calibri Light" w:eastAsia="Times New Roman" w:hAnsi="Calibri Light" w:cs="Times New Roman"/>
              <w:b/>
              <w:i/>
              <w:sz w:val="18"/>
              <w:szCs w:val="18"/>
              <w:lang w:eastAsia="ru-RU"/>
            </w:rPr>
          </w:pPr>
        </w:p>
      </w:tc>
      <w:tc>
        <w:tcPr>
          <w:tcW w:w="567" w:type="dxa"/>
          <w:tcBorders>
            <w:top w:val="single" w:sz="18" w:space="0" w:color="auto"/>
            <w:left w:val="single" w:sz="18" w:space="0" w:color="auto"/>
            <w:right w:val="single" w:sz="18" w:space="0" w:color="auto"/>
          </w:tcBorders>
          <w:vAlign w:val="center"/>
        </w:tcPr>
        <w:p w14:paraId="68F4FAEC" w14:textId="77777777" w:rsidR="006F635A" w:rsidRPr="006F635A" w:rsidRDefault="006F635A" w:rsidP="006F3259">
          <w:pPr>
            <w:jc w:val="center"/>
            <w:rPr>
              <w:rFonts w:ascii="Calibri Light" w:eastAsia="Times New Roman" w:hAnsi="Calibri Light" w:cs="Times New Roman"/>
              <w:b/>
              <w:i/>
              <w:sz w:val="18"/>
              <w:szCs w:val="18"/>
              <w:lang w:eastAsia="ru-RU"/>
            </w:rPr>
          </w:pPr>
        </w:p>
      </w:tc>
      <w:tc>
        <w:tcPr>
          <w:tcW w:w="1301" w:type="dxa"/>
          <w:tcBorders>
            <w:top w:val="single" w:sz="18" w:space="0" w:color="auto"/>
            <w:left w:val="single" w:sz="18" w:space="0" w:color="auto"/>
            <w:right w:val="single" w:sz="18" w:space="0" w:color="auto"/>
          </w:tcBorders>
          <w:vAlign w:val="center"/>
        </w:tcPr>
        <w:p w14:paraId="194B1903" w14:textId="77777777" w:rsidR="006F635A" w:rsidRPr="006F635A" w:rsidRDefault="006F635A" w:rsidP="006F3259">
          <w:pPr>
            <w:jc w:val="center"/>
            <w:rPr>
              <w:rFonts w:ascii="Calibri Light" w:eastAsia="Times New Roman" w:hAnsi="Calibri Light" w:cs="Times New Roman"/>
              <w:b/>
              <w:i/>
              <w:sz w:val="18"/>
              <w:szCs w:val="18"/>
              <w:lang w:eastAsia="ru-RU"/>
            </w:rPr>
          </w:pPr>
        </w:p>
      </w:tc>
      <w:tc>
        <w:tcPr>
          <w:tcW w:w="849" w:type="dxa"/>
          <w:tcBorders>
            <w:top w:val="single" w:sz="18" w:space="0" w:color="auto"/>
            <w:left w:val="single" w:sz="18" w:space="0" w:color="auto"/>
            <w:right w:val="single" w:sz="18" w:space="0" w:color="auto"/>
          </w:tcBorders>
          <w:vAlign w:val="center"/>
        </w:tcPr>
        <w:p w14:paraId="710B436E" w14:textId="77777777" w:rsidR="006F635A" w:rsidRPr="006F635A" w:rsidRDefault="006F635A" w:rsidP="006F3259">
          <w:pPr>
            <w:jc w:val="center"/>
            <w:rPr>
              <w:rFonts w:ascii="Calibri Light" w:eastAsia="Times New Roman" w:hAnsi="Calibri Light" w:cs="Times New Roman"/>
              <w:b/>
              <w:i/>
              <w:sz w:val="18"/>
              <w:szCs w:val="18"/>
              <w:lang w:eastAsia="ru-RU"/>
            </w:rPr>
          </w:pPr>
        </w:p>
      </w:tc>
      <w:tc>
        <w:tcPr>
          <w:tcW w:w="566" w:type="dxa"/>
          <w:tcBorders>
            <w:top w:val="single" w:sz="18" w:space="0" w:color="auto"/>
            <w:left w:val="single" w:sz="18" w:space="0" w:color="auto"/>
            <w:right w:val="single" w:sz="18" w:space="0" w:color="auto"/>
          </w:tcBorders>
          <w:vAlign w:val="center"/>
        </w:tcPr>
        <w:p w14:paraId="5826CDC4" w14:textId="77777777" w:rsidR="006F635A" w:rsidRPr="006F635A" w:rsidRDefault="006F635A" w:rsidP="006F3259">
          <w:pPr>
            <w:jc w:val="center"/>
            <w:rPr>
              <w:rFonts w:ascii="Calibri Light" w:eastAsia="Times New Roman" w:hAnsi="Calibri Light" w:cs="Times New Roman"/>
              <w:b/>
              <w:i/>
              <w:sz w:val="18"/>
              <w:szCs w:val="18"/>
              <w:lang w:eastAsia="ru-RU"/>
            </w:rPr>
          </w:pPr>
        </w:p>
      </w:tc>
      <w:tc>
        <w:tcPr>
          <w:tcW w:w="6787" w:type="dxa"/>
          <w:gridSpan w:val="6"/>
          <w:vMerge w:val="restart"/>
          <w:tcBorders>
            <w:top w:val="single" w:sz="18" w:space="0" w:color="auto"/>
            <w:left w:val="single" w:sz="18" w:space="0" w:color="auto"/>
            <w:right w:val="nil"/>
          </w:tcBorders>
          <w:vAlign w:val="center"/>
        </w:tcPr>
        <w:p w14:paraId="63B0CD50" w14:textId="77777777" w:rsidR="006F635A" w:rsidRPr="006F635A" w:rsidRDefault="006F635A" w:rsidP="006F3259">
          <w:pPr>
            <w:jc w:val="center"/>
            <w:rPr>
              <w:rFonts w:ascii="Calibri Light" w:eastAsia="Times New Roman" w:hAnsi="Calibri Light" w:cs="Times New Roman"/>
              <w:b/>
              <w:i/>
              <w:sz w:val="28"/>
              <w:szCs w:val="18"/>
              <w:lang w:eastAsia="ru-RU"/>
            </w:rPr>
          </w:pPr>
          <w:r w:rsidRPr="006F635A">
            <w:rPr>
              <w:rFonts w:ascii="Calibri Light" w:eastAsia="Times New Roman" w:hAnsi="Calibri Light" w:cs="Arial"/>
              <w:b/>
              <w:i/>
              <w:sz w:val="28"/>
              <w:szCs w:val="18"/>
              <w:lang w:eastAsia="ru-RU"/>
            </w:rPr>
            <w:t>Определение категорий. ПЗ</w:t>
          </w:r>
        </w:p>
      </w:tc>
    </w:tr>
    <w:tr w:rsidR="006F635A" w:rsidRPr="006F635A" w14:paraId="154DC3C1" w14:textId="77777777" w:rsidTr="006D54B3">
      <w:trPr>
        <w:cantSplit/>
        <w:trHeight w:hRule="exact" w:val="284"/>
      </w:trPr>
      <w:tc>
        <w:tcPr>
          <w:tcW w:w="397" w:type="dxa"/>
          <w:tcBorders>
            <w:left w:val="nil"/>
            <w:bottom w:val="single" w:sz="18" w:space="0" w:color="auto"/>
            <w:right w:val="single" w:sz="18" w:space="0" w:color="auto"/>
          </w:tcBorders>
          <w:vAlign w:val="center"/>
        </w:tcPr>
        <w:p w14:paraId="685606B6" w14:textId="77777777" w:rsidR="006F635A" w:rsidRPr="006F635A" w:rsidRDefault="006F635A" w:rsidP="006F3259">
          <w:pPr>
            <w:jc w:val="center"/>
            <w:rPr>
              <w:rFonts w:ascii="Calibri Light" w:eastAsia="Times New Roman" w:hAnsi="Calibri Light" w:cs="Times New Roman"/>
              <w:b/>
              <w:i/>
              <w:sz w:val="18"/>
              <w:szCs w:val="18"/>
              <w:lang w:eastAsia="ru-RU"/>
            </w:rPr>
          </w:pPr>
        </w:p>
      </w:tc>
      <w:tc>
        <w:tcPr>
          <w:tcW w:w="567" w:type="dxa"/>
          <w:tcBorders>
            <w:left w:val="single" w:sz="18" w:space="0" w:color="auto"/>
            <w:bottom w:val="single" w:sz="18" w:space="0" w:color="auto"/>
            <w:right w:val="single" w:sz="18" w:space="0" w:color="auto"/>
          </w:tcBorders>
          <w:vAlign w:val="center"/>
        </w:tcPr>
        <w:p w14:paraId="474C579F" w14:textId="77777777" w:rsidR="006F635A" w:rsidRPr="006F635A" w:rsidRDefault="006F635A" w:rsidP="006F3259">
          <w:pPr>
            <w:jc w:val="center"/>
            <w:rPr>
              <w:rFonts w:ascii="Calibri Light" w:eastAsia="Times New Roman" w:hAnsi="Calibri Light" w:cs="Times New Roman"/>
              <w:b/>
              <w:i/>
              <w:sz w:val="18"/>
              <w:szCs w:val="18"/>
              <w:lang w:eastAsia="ru-RU"/>
            </w:rPr>
          </w:pPr>
        </w:p>
      </w:tc>
      <w:tc>
        <w:tcPr>
          <w:tcW w:w="1301" w:type="dxa"/>
          <w:tcBorders>
            <w:left w:val="single" w:sz="18" w:space="0" w:color="auto"/>
            <w:bottom w:val="single" w:sz="18" w:space="0" w:color="auto"/>
            <w:right w:val="single" w:sz="18" w:space="0" w:color="auto"/>
          </w:tcBorders>
          <w:vAlign w:val="center"/>
        </w:tcPr>
        <w:p w14:paraId="56CA50FE" w14:textId="77777777" w:rsidR="006F635A" w:rsidRPr="006F635A" w:rsidRDefault="006F635A" w:rsidP="006F3259">
          <w:pPr>
            <w:jc w:val="center"/>
            <w:rPr>
              <w:rFonts w:ascii="Calibri Light" w:eastAsia="Times New Roman" w:hAnsi="Calibri Light" w:cs="Times New Roman"/>
              <w:b/>
              <w:i/>
              <w:sz w:val="18"/>
              <w:szCs w:val="18"/>
              <w:lang w:eastAsia="ru-RU"/>
            </w:rPr>
          </w:pPr>
        </w:p>
      </w:tc>
      <w:tc>
        <w:tcPr>
          <w:tcW w:w="849" w:type="dxa"/>
          <w:tcBorders>
            <w:left w:val="single" w:sz="18" w:space="0" w:color="auto"/>
            <w:bottom w:val="single" w:sz="18" w:space="0" w:color="auto"/>
            <w:right w:val="single" w:sz="18" w:space="0" w:color="auto"/>
          </w:tcBorders>
          <w:vAlign w:val="center"/>
        </w:tcPr>
        <w:p w14:paraId="2A91FF22" w14:textId="77777777" w:rsidR="006F635A" w:rsidRPr="006F635A" w:rsidRDefault="006F635A" w:rsidP="006F3259">
          <w:pPr>
            <w:jc w:val="center"/>
            <w:rPr>
              <w:rFonts w:ascii="Calibri Light" w:eastAsia="Times New Roman" w:hAnsi="Calibri Light" w:cs="Times New Roman"/>
              <w:b/>
              <w:i/>
              <w:sz w:val="18"/>
              <w:szCs w:val="18"/>
              <w:lang w:eastAsia="ru-RU"/>
            </w:rPr>
          </w:pPr>
        </w:p>
      </w:tc>
      <w:tc>
        <w:tcPr>
          <w:tcW w:w="566" w:type="dxa"/>
          <w:tcBorders>
            <w:left w:val="single" w:sz="18" w:space="0" w:color="auto"/>
            <w:bottom w:val="single" w:sz="18" w:space="0" w:color="auto"/>
            <w:right w:val="single" w:sz="18" w:space="0" w:color="auto"/>
          </w:tcBorders>
          <w:vAlign w:val="center"/>
        </w:tcPr>
        <w:p w14:paraId="3DF5938B" w14:textId="77777777" w:rsidR="006F635A" w:rsidRPr="006F635A" w:rsidRDefault="006F635A" w:rsidP="006F3259">
          <w:pPr>
            <w:jc w:val="center"/>
            <w:rPr>
              <w:rFonts w:ascii="Calibri Light" w:eastAsia="Times New Roman" w:hAnsi="Calibri Light" w:cs="Times New Roman"/>
              <w:b/>
              <w:i/>
              <w:sz w:val="18"/>
              <w:szCs w:val="18"/>
              <w:lang w:eastAsia="ru-RU"/>
            </w:rPr>
          </w:pPr>
        </w:p>
      </w:tc>
      <w:tc>
        <w:tcPr>
          <w:tcW w:w="6787" w:type="dxa"/>
          <w:gridSpan w:val="6"/>
          <w:vMerge/>
          <w:tcBorders>
            <w:left w:val="single" w:sz="18" w:space="0" w:color="auto"/>
            <w:right w:val="nil"/>
          </w:tcBorders>
          <w:vAlign w:val="center"/>
        </w:tcPr>
        <w:p w14:paraId="112A0D52" w14:textId="77777777" w:rsidR="006F635A" w:rsidRPr="006F635A" w:rsidRDefault="006F635A" w:rsidP="006F3259">
          <w:pPr>
            <w:jc w:val="center"/>
            <w:rPr>
              <w:rFonts w:ascii="Calibri Light" w:eastAsia="Times New Roman" w:hAnsi="Calibri Light" w:cs="Times New Roman"/>
              <w:b/>
              <w:i/>
              <w:sz w:val="18"/>
              <w:szCs w:val="18"/>
              <w:lang w:eastAsia="ru-RU"/>
            </w:rPr>
          </w:pPr>
        </w:p>
      </w:tc>
    </w:tr>
    <w:tr w:rsidR="006F635A" w:rsidRPr="006F635A" w14:paraId="6194B324" w14:textId="77777777" w:rsidTr="006D54B3">
      <w:trPr>
        <w:cantSplit/>
        <w:trHeight w:hRule="exact" w:val="284"/>
      </w:trPr>
      <w:tc>
        <w:tcPr>
          <w:tcW w:w="397" w:type="dxa"/>
          <w:tcBorders>
            <w:top w:val="single" w:sz="18" w:space="0" w:color="auto"/>
            <w:left w:val="nil"/>
            <w:bottom w:val="single" w:sz="18" w:space="0" w:color="auto"/>
            <w:right w:val="single" w:sz="18" w:space="0" w:color="auto"/>
          </w:tcBorders>
          <w:vAlign w:val="center"/>
        </w:tcPr>
        <w:p w14:paraId="635B8918" w14:textId="77777777" w:rsidR="006F635A" w:rsidRPr="006F635A" w:rsidRDefault="006F635A" w:rsidP="006F3259">
          <w:pPr>
            <w:jc w:val="center"/>
            <w:rPr>
              <w:rFonts w:ascii="Calibri Light" w:eastAsia="Times New Roman" w:hAnsi="Calibri Light" w:cs="Times New Roman"/>
              <w:b/>
              <w:i/>
              <w:sz w:val="18"/>
              <w:szCs w:val="18"/>
              <w:lang w:eastAsia="ru-RU"/>
            </w:rPr>
          </w:pPr>
          <w:r w:rsidRPr="006F635A">
            <w:rPr>
              <w:rFonts w:ascii="Calibri Light" w:eastAsia="Times New Roman" w:hAnsi="Calibri Light" w:cs="Times New Roman"/>
              <w:b/>
              <w:i/>
              <w:sz w:val="18"/>
              <w:szCs w:val="18"/>
              <w:lang w:eastAsia="ru-RU"/>
            </w:rPr>
            <w:t>Изм.</w:t>
          </w:r>
        </w:p>
      </w:tc>
      <w:tc>
        <w:tcPr>
          <w:tcW w:w="567" w:type="dxa"/>
          <w:tcBorders>
            <w:top w:val="single" w:sz="18" w:space="0" w:color="auto"/>
            <w:left w:val="single" w:sz="18" w:space="0" w:color="auto"/>
            <w:bottom w:val="single" w:sz="18" w:space="0" w:color="auto"/>
            <w:right w:val="single" w:sz="18" w:space="0" w:color="auto"/>
          </w:tcBorders>
          <w:vAlign w:val="center"/>
        </w:tcPr>
        <w:p w14:paraId="49A75095" w14:textId="77777777" w:rsidR="006F635A" w:rsidRPr="006F635A" w:rsidRDefault="006F635A" w:rsidP="006F3259">
          <w:pPr>
            <w:jc w:val="center"/>
            <w:rPr>
              <w:rFonts w:ascii="Calibri Light" w:eastAsia="Times New Roman" w:hAnsi="Calibri Light" w:cs="Times New Roman"/>
              <w:b/>
              <w:i/>
              <w:sz w:val="18"/>
              <w:szCs w:val="18"/>
              <w:lang w:eastAsia="ru-RU"/>
            </w:rPr>
          </w:pPr>
          <w:r w:rsidRPr="006F635A">
            <w:rPr>
              <w:rFonts w:ascii="Calibri Light" w:eastAsia="Times New Roman" w:hAnsi="Calibri Light" w:cs="Times New Roman"/>
              <w:b/>
              <w:i/>
              <w:sz w:val="18"/>
              <w:szCs w:val="18"/>
              <w:lang w:eastAsia="ru-RU"/>
            </w:rPr>
            <w:t>Лист</w:t>
          </w:r>
        </w:p>
      </w:tc>
      <w:tc>
        <w:tcPr>
          <w:tcW w:w="1301" w:type="dxa"/>
          <w:tcBorders>
            <w:top w:val="single" w:sz="18" w:space="0" w:color="auto"/>
            <w:left w:val="single" w:sz="18" w:space="0" w:color="auto"/>
            <w:bottom w:val="single" w:sz="18" w:space="0" w:color="auto"/>
            <w:right w:val="single" w:sz="18" w:space="0" w:color="auto"/>
          </w:tcBorders>
          <w:vAlign w:val="center"/>
        </w:tcPr>
        <w:p w14:paraId="32CB4F6D" w14:textId="77777777" w:rsidR="006F635A" w:rsidRPr="006F635A" w:rsidRDefault="006F635A" w:rsidP="006F3259">
          <w:pPr>
            <w:jc w:val="center"/>
            <w:rPr>
              <w:rFonts w:ascii="Calibri Light" w:eastAsia="Times New Roman" w:hAnsi="Calibri Light" w:cs="Times New Roman"/>
              <w:b/>
              <w:i/>
              <w:sz w:val="18"/>
              <w:szCs w:val="18"/>
              <w:lang w:eastAsia="ru-RU"/>
            </w:rPr>
          </w:pPr>
          <w:r w:rsidRPr="006F635A">
            <w:rPr>
              <w:rFonts w:ascii="Calibri Light" w:eastAsia="Times New Roman" w:hAnsi="Calibri Light" w:cs="Times New Roman"/>
              <w:b/>
              <w:i/>
              <w:sz w:val="18"/>
              <w:szCs w:val="18"/>
              <w:lang w:eastAsia="ru-RU"/>
            </w:rPr>
            <w:t>№ докум.</w:t>
          </w:r>
        </w:p>
      </w:tc>
      <w:tc>
        <w:tcPr>
          <w:tcW w:w="849" w:type="dxa"/>
          <w:tcBorders>
            <w:top w:val="single" w:sz="18" w:space="0" w:color="auto"/>
            <w:left w:val="single" w:sz="18" w:space="0" w:color="auto"/>
            <w:bottom w:val="single" w:sz="18" w:space="0" w:color="auto"/>
            <w:right w:val="single" w:sz="18" w:space="0" w:color="auto"/>
          </w:tcBorders>
          <w:vAlign w:val="center"/>
        </w:tcPr>
        <w:p w14:paraId="3CB2E6A2" w14:textId="77777777" w:rsidR="006F635A" w:rsidRPr="006F635A" w:rsidRDefault="006F635A" w:rsidP="006F3259">
          <w:pPr>
            <w:jc w:val="center"/>
            <w:rPr>
              <w:rFonts w:ascii="Calibri Light" w:eastAsia="Times New Roman" w:hAnsi="Calibri Light" w:cs="Times New Roman"/>
              <w:b/>
              <w:i/>
              <w:sz w:val="18"/>
              <w:szCs w:val="18"/>
              <w:lang w:eastAsia="ru-RU"/>
            </w:rPr>
          </w:pPr>
          <w:r w:rsidRPr="006F635A">
            <w:rPr>
              <w:rFonts w:ascii="Calibri Light" w:eastAsia="Times New Roman" w:hAnsi="Calibri Light" w:cs="Times New Roman"/>
              <w:b/>
              <w:i/>
              <w:sz w:val="18"/>
              <w:szCs w:val="18"/>
              <w:lang w:eastAsia="ru-RU"/>
            </w:rPr>
            <w:t>Подп.</w:t>
          </w:r>
        </w:p>
      </w:tc>
      <w:tc>
        <w:tcPr>
          <w:tcW w:w="566" w:type="dxa"/>
          <w:tcBorders>
            <w:top w:val="single" w:sz="18" w:space="0" w:color="auto"/>
            <w:left w:val="single" w:sz="18" w:space="0" w:color="auto"/>
            <w:bottom w:val="single" w:sz="18" w:space="0" w:color="auto"/>
            <w:right w:val="single" w:sz="18" w:space="0" w:color="auto"/>
          </w:tcBorders>
          <w:vAlign w:val="center"/>
        </w:tcPr>
        <w:p w14:paraId="3646AD1E" w14:textId="77777777" w:rsidR="006F635A" w:rsidRPr="006F635A" w:rsidRDefault="006F635A" w:rsidP="006F3259">
          <w:pPr>
            <w:jc w:val="center"/>
            <w:rPr>
              <w:rFonts w:ascii="Calibri Light" w:eastAsia="Times New Roman" w:hAnsi="Calibri Light" w:cs="Times New Roman"/>
              <w:b/>
              <w:i/>
              <w:sz w:val="18"/>
              <w:szCs w:val="18"/>
              <w:lang w:eastAsia="ru-RU"/>
            </w:rPr>
          </w:pPr>
          <w:r w:rsidRPr="006F635A">
            <w:rPr>
              <w:rFonts w:ascii="Calibri Light" w:eastAsia="Times New Roman" w:hAnsi="Calibri Light" w:cs="Times New Roman"/>
              <w:b/>
              <w:i/>
              <w:sz w:val="18"/>
              <w:szCs w:val="18"/>
              <w:lang w:eastAsia="ru-RU"/>
            </w:rPr>
            <w:t>Дата</w:t>
          </w:r>
        </w:p>
      </w:tc>
      <w:tc>
        <w:tcPr>
          <w:tcW w:w="6787" w:type="dxa"/>
          <w:gridSpan w:val="6"/>
          <w:vMerge/>
          <w:tcBorders>
            <w:left w:val="single" w:sz="18" w:space="0" w:color="auto"/>
            <w:bottom w:val="single" w:sz="18" w:space="0" w:color="auto"/>
            <w:right w:val="nil"/>
          </w:tcBorders>
          <w:vAlign w:val="center"/>
        </w:tcPr>
        <w:p w14:paraId="506C30B0" w14:textId="77777777" w:rsidR="006F635A" w:rsidRPr="006F635A" w:rsidRDefault="006F635A" w:rsidP="006F3259">
          <w:pPr>
            <w:jc w:val="center"/>
            <w:rPr>
              <w:rFonts w:ascii="Calibri Light" w:eastAsia="Times New Roman" w:hAnsi="Calibri Light" w:cs="Times New Roman"/>
              <w:b/>
              <w:i/>
              <w:sz w:val="18"/>
              <w:szCs w:val="18"/>
              <w:lang w:eastAsia="ru-RU"/>
            </w:rPr>
          </w:pPr>
        </w:p>
      </w:tc>
    </w:tr>
    <w:tr w:rsidR="006F635A" w:rsidRPr="006F635A" w14:paraId="0AA33A46" w14:textId="77777777" w:rsidTr="006F3259">
      <w:trPr>
        <w:cantSplit/>
        <w:trHeight w:hRule="exact" w:val="284"/>
      </w:trPr>
      <w:tc>
        <w:tcPr>
          <w:tcW w:w="964" w:type="dxa"/>
          <w:gridSpan w:val="2"/>
          <w:tcBorders>
            <w:left w:val="nil"/>
            <w:bottom w:val="single" w:sz="4" w:space="0" w:color="auto"/>
            <w:right w:val="single" w:sz="18" w:space="0" w:color="auto"/>
          </w:tcBorders>
          <w:vAlign w:val="center"/>
        </w:tcPr>
        <w:p w14:paraId="20A958CD" w14:textId="77777777" w:rsidR="006F635A" w:rsidRPr="006F635A" w:rsidRDefault="006F635A" w:rsidP="006F3259">
          <w:pPr>
            <w:ind w:firstLine="28"/>
            <w:rPr>
              <w:rFonts w:ascii="Calibri Light" w:eastAsia="Times New Roman" w:hAnsi="Calibri Light" w:cs="Times New Roman"/>
              <w:b/>
              <w:i/>
              <w:sz w:val="18"/>
              <w:szCs w:val="18"/>
              <w:lang w:eastAsia="ru-RU"/>
            </w:rPr>
          </w:pPr>
          <w:proofErr w:type="spellStart"/>
          <w:r w:rsidRPr="006F635A">
            <w:rPr>
              <w:rFonts w:ascii="Calibri Light" w:eastAsia="Times New Roman" w:hAnsi="Calibri Light" w:cs="Times New Roman"/>
              <w:b/>
              <w:i/>
              <w:sz w:val="18"/>
              <w:szCs w:val="18"/>
              <w:lang w:eastAsia="ru-RU"/>
            </w:rPr>
            <w:t>Разраб</w:t>
          </w:r>
          <w:proofErr w:type="spellEnd"/>
          <w:r w:rsidRPr="006F635A">
            <w:rPr>
              <w:rFonts w:ascii="Calibri Light" w:eastAsia="Times New Roman" w:hAnsi="Calibri Light" w:cs="Times New Roman"/>
              <w:b/>
              <w:i/>
              <w:sz w:val="18"/>
              <w:szCs w:val="18"/>
              <w:lang w:eastAsia="ru-RU"/>
            </w:rPr>
            <w:t>.</w:t>
          </w:r>
        </w:p>
      </w:tc>
      <w:tc>
        <w:tcPr>
          <w:tcW w:w="1301" w:type="dxa"/>
          <w:tcBorders>
            <w:left w:val="single" w:sz="18" w:space="0" w:color="auto"/>
            <w:bottom w:val="single" w:sz="4" w:space="0" w:color="auto"/>
            <w:right w:val="single" w:sz="18" w:space="0" w:color="auto"/>
          </w:tcBorders>
          <w:vAlign w:val="center"/>
        </w:tcPr>
        <w:p w14:paraId="1BC07975" w14:textId="77777777" w:rsidR="006F635A" w:rsidRPr="006F635A" w:rsidRDefault="006F635A" w:rsidP="006F3259">
          <w:pPr>
            <w:jc w:val="center"/>
            <w:rPr>
              <w:rFonts w:ascii="Calibri Light" w:eastAsia="Times New Roman" w:hAnsi="Calibri Light" w:cs="Times New Roman"/>
              <w:b/>
              <w:i/>
              <w:sz w:val="18"/>
              <w:szCs w:val="18"/>
              <w:lang w:eastAsia="ru-RU"/>
            </w:rPr>
          </w:pPr>
        </w:p>
      </w:tc>
      <w:tc>
        <w:tcPr>
          <w:tcW w:w="849" w:type="dxa"/>
          <w:tcBorders>
            <w:left w:val="single" w:sz="18" w:space="0" w:color="auto"/>
            <w:bottom w:val="single" w:sz="4" w:space="0" w:color="auto"/>
            <w:right w:val="single" w:sz="18" w:space="0" w:color="auto"/>
          </w:tcBorders>
          <w:vAlign w:val="center"/>
        </w:tcPr>
        <w:p w14:paraId="42002DD5" w14:textId="77777777" w:rsidR="006F635A" w:rsidRPr="006F635A" w:rsidRDefault="006F635A" w:rsidP="006F3259">
          <w:pPr>
            <w:jc w:val="center"/>
            <w:rPr>
              <w:rFonts w:ascii="Calibri Light" w:eastAsia="Times New Roman" w:hAnsi="Calibri Light" w:cs="Times New Roman"/>
              <w:b/>
              <w:i/>
              <w:sz w:val="18"/>
              <w:szCs w:val="18"/>
              <w:lang w:eastAsia="ru-RU"/>
            </w:rPr>
          </w:pPr>
        </w:p>
      </w:tc>
      <w:tc>
        <w:tcPr>
          <w:tcW w:w="566" w:type="dxa"/>
          <w:tcBorders>
            <w:left w:val="single" w:sz="18" w:space="0" w:color="auto"/>
            <w:bottom w:val="single" w:sz="4" w:space="0" w:color="auto"/>
            <w:right w:val="single" w:sz="18" w:space="0" w:color="auto"/>
          </w:tcBorders>
          <w:vAlign w:val="center"/>
        </w:tcPr>
        <w:p w14:paraId="1BEB244A" w14:textId="77777777" w:rsidR="006F635A" w:rsidRPr="006F635A" w:rsidRDefault="006F635A" w:rsidP="006F3259">
          <w:pPr>
            <w:jc w:val="center"/>
            <w:rPr>
              <w:rFonts w:ascii="Calibri Light" w:eastAsia="Times New Roman" w:hAnsi="Calibri Light" w:cs="Times New Roman"/>
              <w:b/>
              <w:i/>
              <w:sz w:val="18"/>
              <w:szCs w:val="18"/>
              <w:lang w:eastAsia="ru-RU"/>
            </w:rPr>
          </w:pPr>
        </w:p>
      </w:tc>
      <w:tc>
        <w:tcPr>
          <w:tcW w:w="3959" w:type="dxa"/>
          <w:vMerge w:val="restart"/>
          <w:tcBorders>
            <w:left w:val="single" w:sz="18" w:space="0" w:color="auto"/>
            <w:bottom w:val="single" w:sz="4" w:space="0" w:color="auto"/>
            <w:right w:val="single" w:sz="18" w:space="0" w:color="auto"/>
          </w:tcBorders>
          <w:vAlign w:val="center"/>
        </w:tcPr>
        <w:p w14:paraId="26DBF18B" w14:textId="77777777" w:rsidR="006F635A" w:rsidRPr="006F635A" w:rsidRDefault="006F635A" w:rsidP="006F3259">
          <w:pPr>
            <w:jc w:val="center"/>
            <w:rPr>
              <w:rFonts w:ascii="Calibri Light" w:eastAsia="Times New Roman" w:hAnsi="Calibri Light" w:cs="Times New Roman"/>
              <w:b/>
              <w:i/>
              <w:sz w:val="28"/>
              <w:szCs w:val="18"/>
              <w:lang w:eastAsia="ru-RU"/>
            </w:rPr>
          </w:pPr>
          <w:r w:rsidRPr="006F635A">
            <w:rPr>
              <w:rFonts w:ascii="Calibri Light" w:eastAsia="Times New Roman" w:hAnsi="Calibri Light" w:cs="Times New Roman"/>
              <w:b/>
              <w:i/>
              <w:sz w:val="28"/>
              <w:szCs w:val="18"/>
              <w:lang w:eastAsia="ru-RU"/>
            </w:rPr>
            <w:t>Наименование объекта</w:t>
          </w:r>
        </w:p>
      </w:tc>
      <w:tc>
        <w:tcPr>
          <w:tcW w:w="848" w:type="dxa"/>
          <w:gridSpan w:val="3"/>
          <w:tcBorders>
            <w:top w:val="nil"/>
            <w:left w:val="single" w:sz="18" w:space="0" w:color="auto"/>
            <w:bottom w:val="single" w:sz="18" w:space="0" w:color="auto"/>
            <w:right w:val="single" w:sz="18" w:space="0" w:color="auto"/>
          </w:tcBorders>
          <w:vAlign w:val="center"/>
        </w:tcPr>
        <w:p w14:paraId="5ECE1FFC" w14:textId="77777777" w:rsidR="006F635A" w:rsidRPr="006F635A" w:rsidRDefault="006F635A" w:rsidP="006F3259">
          <w:pPr>
            <w:jc w:val="center"/>
            <w:rPr>
              <w:rFonts w:ascii="Calibri Light" w:eastAsia="Times New Roman" w:hAnsi="Calibri Light" w:cs="Times New Roman"/>
              <w:b/>
              <w:i/>
              <w:sz w:val="18"/>
              <w:szCs w:val="18"/>
              <w:lang w:eastAsia="ru-RU"/>
            </w:rPr>
          </w:pPr>
          <w:r w:rsidRPr="006F635A">
            <w:rPr>
              <w:rFonts w:ascii="Calibri Light" w:eastAsia="Times New Roman" w:hAnsi="Calibri Light" w:cs="Times New Roman"/>
              <w:b/>
              <w:i/>
              <w:sz w:val="18"/>
              <w:szCs w:val="18"/>
              <w:lang w:eastAsia="ru-RU"/>
            </w:rPr>
            <w:t>Лит.</w:t>
          </w:r>
        </w:p>
      </w:tc>
      <w:tc>
        <w:tcPr>
          <w:tcW w:w="849" w:type="dxa"/>
          <w:tcBorders>
            <w:top w:val="nil"/>
            <w:left w:val="single" w:sz="18" w:space="0" w:color="auto"/>
            <w:bottom w:val="single" w:sz="18" w:space="0" w:color="auto"/>
            <w:right w:val="single" w:sz="18" w:space="0" w:color="auto"/>
          </w:tcBorders>
          <w:vAlign w:val="center"/>
        </w:tcPr>
        <w:p w14:paraId="24ADF31F" w14:textId="77777777" w:rsidR="006F635A" w:rsidRPr="006F635A" w:rsidRDefault="006F635A" w:rsidP="006F3259">
          <w:pPr>
            <w:jc w:val="center"/>
            <w:rPr>
              <w:rFonts w:ascii="Calibri Light" w:eastAsia="Times New Roman" w:hAnsi="Calibri Light" w:cs="Times New Roman"/>
              <w:b/>
              <w:i/>
              <w:sz w:val="18"/>
              <w:szCs w:val="18"/>
              <w:lang w:eastAsia="ru-RU"/>
            </w:rPr>
          </w:pPr>
          <w:r w:rsidRPr="006F635A">
            <w:rPr>
              <w:rFonts w:ascii="Calibri Light" w:eastAsia="Times New Roman" w:hAnsi="Calibri Light" w:cs="Times New Roman"/>
              <w:b/>
              <w:i/>
              <w:sz w:val="18"/>
              <w:szCs w:val="18"/>
              <w:lang w:eastAsia="ru-RU"/>
            </w:rPr>
            <w:t>Лист</w:t>
          </w:r>
        </w:p>
      </w:tc>
      <w:tc>
        <w:tcPr>
          <w:tcW w:w="1131" w:type="dxa"/>
          <w:tcBorders>
            <w:top w:val="nil"/>
            <w:left w:val="single" w:sz="18" w:space="0" w:color="auto"/>
            <w:bottom w:val="single" w:sz="18" w:space="0" w:color="auto"/>
            <w:right w:val="nil"/>
          </w:tcBorders>
          <w:vAlign w:val="center"/>
        </w:tcPr>
        <w:p w14:paraId="4054A74E" w14:textId="77777777" w:rsidR="006F635A" w:rsidRPr="006F635A" w:rsidRDefault="006F635A" w:rsidP="006F3259">
          <w:pPr>
            <w:jc w:val="center"/>
            <w:rPr>
              <w:rFonts w:ascii="Calibri Light" w:eastAsia="Times New Roman" w:hAnsi="Calibri Light" w:cs="Times New Roman"/>
              <w:b/>
              <w:i/>
              <w:sz w:val="18"/>
              <w:szCs w:val="18"/>
              <w:lang w:eastAsia="ru-RU"/>
            </w:rPr>
          </w:pPr>
          <w:r w:rsidRPr="006F635A">
            <w:rPr>
              <w:rFonts w:ascii="Calibri Light" w:eastAsia="Times New Roman" w:hAnsi="Calibri Light" w:cs="Times New Roman"/>
              <w:b/>
              <w:i/>
              <w:sz w:val="18"/>
              <w:szCs w:val="18"/>
              <w:lang w:eastAsia="ru-RU"/>
            </w:rPr>
            <w:t>Листов</w:t>
          </w:r>
        </w:p>
      </w:tc>
    </w:tr>
    <w:tr w:rsidR="006F635A" w:rsidRPr="006F635A" w14:paraId="04D5A382" w14:textId="77777777" w:rsidTr="006F3259">
      <w:trPr>
        <w:cantSplit/>
        <w:trHeight w:hRule="exact" w:val="284"/>
      </w:trPr>
      <w:tc>
        <w:tcPr>
          <w:tcW w:w="964" w:type="dxa"/>
          <w:gridSpan w:val="2"/>
          <w:tcBorders>
            <w:left w:val="nil"/>
            <w:bottom w:val="single" w:sz="4" w:space="0" w:color="auto"/>
            <w:right w:val="single" w:sz="18" w:space="0" w:color="auto"/>
          </w:tcBorders>
          <w:vAlign w:val="center"/>
        </w:tcPr>
        <w:p w14:paraId="32FF483A" w14:textId="77777777" w:rsidR="006F635A" w:rsidRPr="006F635A" w:rsidRDefault="006F635A" w:rsidP="006F3259">
          <w:pPr>
            <w:ind w:firstLine="28"/>
            <w:rPr>
              <w:rFonts w:ascii="Calibri Light" w:eastAsia="Times New Roman" w:hAnsi="Calibri Light" w:cs="Times New Roman"/>
              <w:b/>
              <w:i/>
              <w:sz w:val="18"/>
              <w:szCs w:val="18"/>
              <w:lang w:eastAsia="ru-RU"/>
            </w:rPr>
          </w:pPr>
          <w:r w:rsidRPr="006F635A">
            <w:rPr>
              <w:rFonts w:ascii="Calibri Light" w:eastAsia="Times New Roman" w:hAnsi="Calibri Light" w:cs="Times New Roman"/>
              <w:b/>
              <w:i/>
              <w:sz w:val="18"/>
              <w:szCs w:val="18"/>
              <w:lang w:eastAsia="ru-RU"/>
            </w:rPr>
            <w:t>Пров.</w:t>
          </w:r>
        </w:p>
      </w:tc>
      <w:tc>
        <w:tcPr>
          <w:tcW w:w="1301" w:type="dxa"/>
          <w:tcBorders>
            <w:left w:val="single" w:sz="18" w:space="0" w:color="auto"/>
            <w:right w:val="single" w:sz="18" w:space="0" w:color="auto"/>
          </w:tcBorders>
          <w:vAlign w:val="center"/>
        </w:tcPr>
        <w:p w14:paraId="0682A6C6" w14:textId="77777777" w:rsidR="006F635A" w:rsidRPr="006F635A" w:rsidRDefault="006F635A" w:rsidP="006F3259">
          <w:pPr>
            <w:jc w:val="center"/>
            <w:rPr>
              <w:rFonts w:ascii="Calibri Light" w:eastAsia="Times New Roman" w:hAnsi="Calibri Light" w:cs="Times New Roman"/>
              <w:b/>
              <w:i/>
              <w:sz w:val="18"/>
              <w:szCs w:val="18"/>
              <w:lang w:eastAsia="ru-RU"/>
            </w:rPr>
          </w:pPr>
        </w:p>
      </w:tc>
      <w:tc>
        <w:tcPr>
          <w:tcW w:w="849" w:type="dxa"/>
          <w:tcBorders>
            <w:left w:val="single" w:sz="18" w:space="0" w:color="auto"/>
            <w:right w:val="single" w:sz="18" w:space="0" w:color="auto"/>
          </w:tcBorders>
          <w:vAlign w:val="center"/>
        </w:tcPr>
        <w:p w14:paraId="5D44BB44" w14:textId="77777777" w:rsidR="006F635A" w:rsidRPr="006F635A" w:rsidRDefault="006F635A" w:rsidP="006F3259">
          <w:pPr>
            <w:jc w:val="center"/>
            <w:rPr>
              <w:rFonts w:ascii="Calibri Light" w:eastAsia="Times New Roman" w:hAnsi="Calibri Light" w:cs="Times New Roman"/>
              <w:b/>
              <w:i/>
              <w:sz w:val="18"/>
              <w:szCs w:val="18"/>
              <w:lang w:eastAsia="ru-RU"/>
            </w:rPr>
          </w:pPr>
        </w:p>
      </w:tc>
      <w:tc>
        <w:tcPr>
          <w:tcW w:w="566" w:type="dxa"/>
          <w:tcBorders>
            <w:left w:val="single" w:sz="18" w:space="0" w:color="auto"/>
            <w:right w:val="single" w:sz="18" w:space="0" w:color="auto"/>
          </w:tcBorders>
          <w:vAlign w:val="center"/>
        </w:tcPr>
        <w:p w14:paraId="30D10887" w14:textId="77777777" w:rsidR="006F635A" w:rsidRPr="006F635A" w:rsidRDefault="006F635A" w:rsidP="006F3259">
          <w:pPr>
            <w:jc w:val="center"/>
            <w:rPr>
              <w:rFonts w:ascii="Calibri Light" w:eastAsia="Times New Roman" w:hAnsi="Calibri Light" w:cs="Times New Roman"/>
              <w:b/>
              <w:i/>
              <w:sz w:val="18"/>
              <w:szCs w:val="18"/>
              <w:lang w:eastAsia="ru-RU"/>
            </w:rPr>
          </w:pPr>
        </w:p>
      </w:tc>
      <w:tc>
        <w:tcPr>
          <w:tcW w:w="3959" w:type="dxa"/>
          <w:vMerge/>
          <w:tcBorders>
            <w:left w:val="single" w:sz="18" w:space="0" w:color="auto"/>
            <w:right w:val="single" w:sz="18" w:space="0" w:color="auto"/>
          </w:tcBorders>
          <w:vAlign w:val="center"/>
        </w:tcPr>
        <w:p w14:paraId="5E41014D" w14:textId="77777777" w:rsidR="006F635A" w:rsidRPr="006F635A" w:rsidRDefault="006F635A" w:rsidP="006F3259">
          <w:pPr>
            <w:jc w:val="center"/>
            <w:rPr>
              <w:rFonts w:ascii="Calibri Light" w:eastAsia="Times New Roman" w:hAnsi="Calibri Light" w:cs="Times New Roman"/>
              <w:b/>
              <w:i/>
              <w:sz w:val="18"/>
              <w:szCs w:val="18"/>
              <w:lang w:eastAsia="ru-RU"/>
            </w:rPr>
          </w:pPr>
        </w:p>
      </w:tc>
      <w:tc>
        <w:tcPr>
          <w:tcW w:w="282" w:type="dxa"/>
          <w:tcBorders>
            <w:top w:val="nil"/>
            <w:left w:val="single" w:sz="18" w:space="0" w:color="auto"/>
            <w:bottom w:val="single" w:sz="18" w:space="0" w:color="auto"/>
            <w:right w:val="single" w:sz="2" w:space="0" w:color="auto"/>
          </w:tcBorders>
          <w:vAlign w:val="center"/>
        </w:tcPr>
        <w:p w14:paraId="7EDBD424" w14:textId="77777777" w:rsidR="006F635A" w:rsidRPr="006F635A" w:rsidRDefault="006F635A" w:rsidP="006F3259">
          <w:pPr>
            <w:jc w:val="center"/>
            <w:rPr>
              <w:rFonts w:ascii="Calibri Light" w:eastAsia="Times New Roman" w:hAnsi="Calibri Light" w:cs="Times New Roman"/>
              <w:b/>
              <w:i/>
              <w:sz w:val="18"/>
              <w:szCs w:val="18"/>
              <w:lang w:eastAsia="ru-RU"/>
            </w:rPr>
          </w:pPr>
        </w:p>
      </w:tc>
      <w:tc>
        <w:tcPr>
          <w:tcW w:w="283" w:type="dxa"/>
          <w:tcBorders>
            <w:top w:val="nil"/>
            <w:left w:val="single" w:sz="2" w:space="0" w:color="auto"/>
            <w:bottom w:val="single" w:sz="18" w:space="0" w:color="auto"/>
            <w:right w:val="single" w:sz="2" w:space="0" w:color="auto"/>
          </w:tcBorders>
          <w:vAlign w:val="center"/>
        </w:tcPr>
        <w:p w14:paraId="52665BDE" w14:textId="77777777" w:rsidR="006F635A" w:rsidRPr="006F635A" w:rsidRDefault="006F635A" w:rsidP="006F3259">
          <w:pPr>
            <w:jc w:val="center"/>
            <w:rPr>
              <w:rFonts w:ascii="Calibri Light" w:eastAsia="Times New Roman" w:hAnsi="Calibri Light" w:cs="Times New Roman"/>
              <w:b/>
              <w:i/>
              <w:sz w:val="18"/>
              <w:szCs w:val="18"/>
              <w:lang w:eastAsia="ru-RU"/>
            </w:rPr>
          </w:pPr>
        </w:p>
      </w:tc>
      <w:tc>
        <w:tcPr>
          <w:tcW w:w="283" w:type="dxa"/>
          <w:tcBorders>
            <w:top w:val="nil"/>
            <w:left w:val="single" w:sz="2" w:space="0" w:color="auto"/>
            <w:bottom w:val="single" w:sz="18" w:space="0" w:color="auto"/>
            <w:right w:val="single" w:sz="18" w:space="0" w:color="auto"/>
          </w:tcBorders>
          <w:vAlign w:val="center"/>
        </w:tcPr>
        <w:p w14:paraId="3BDF37FA" w14:textId="77777777" w:rsidR="006F635A" w:rsidRPr="006F635A" w:rsidRDefault="006F635A" w:rsidP="006F3259">
          <w:pPr>
            <w:jc w:val="center"/>
            <w:rPr>
              <w:rFonts w:ascii="Calibri Light" w:eastAsia="Times New Roman" w:hAnsi="Calibri Light" w:cs="Times New Roman"/>
              <w:b/>
              <w:i/>
              <w:sz w:val="18"/>
              <w:szCs w:val="18"/>
              <w:lang w:eastAsia="ru-RU"/>
            </w:rPr>
          </w:pPr>
        </w:p>
      </w:tc>
      <w:tc>
        <w:tcPr>
          <w:tcW w:w="849" w:type="dxa"/>
          <w:tcBorders>
            <w:top w:val="nil"/>
            <w:left w:val="single" w:sz="18" w:space="0" w:color="auto"/>
            <w:bottom w:val="single" w:sz="18" w:space="0" w:color="auto"/>
            <w:right w:val="single" w:sz="18" w:space="0" w:color="auto"/>
          </w:tcBorders>
          <w:vAlign w:val="center"/>
        </w:tcPr>
        <w:p w14:paraId="7D7353F9" w14:textId="77777777" w:rsidR="006F635A" w:rsidRPr="006F635A" w:rsidRDefault="006F635A" w:rsidP="006F3259">
          <w:pPr>
            <w:jc w:val="center"/>
            <w:rPr>
              <w:rFonts w:ascii="Calibri Light" w:eastAsia="Times New Roman" w:hAnsi="Calibri Light" w:cs="Times New Roman"/>
              <w:b/>
              <w:i/>
              <w:sz w:val="18"/>
              <w:szCs w:val="18"/>
              <w:lang w:eastAsia="ru-RU"/>
            </w:rPr>
          </w:pPr>
          <w:r w:rsidRPr="006F635A">
            <w:rPr>
              <w:rFonts w:ascii="Calibri Light" w:eastAsia="Times New Roman" w:hAnsi="Calibri Light" w:cs="Times New Roman"/>
              <w:b/>
              <w:i/>
              <w:sz w:val="18"/>
              <w:szCs w:val="18"/>
              <w:lang w:eastAsia="ru-RU"/>
            </w:rPr>
            <w:fldChar w:fldCharType="begin"/>
          </w:r>
          <w:r w:rsidRPr="006F635A">
            <w:rPr>
              <w:rFonts w:ascii="Calibri Light" w:eastAsia="Times New Roman" w:hAnsi="Calibri Light" w:cs="Times New Roman"/>
              <w:b/>
              <w:i/>
              <w:sz w:val="18"/>
              <w:szCs w:val="18"/>
              <w:lang w:eastAsia="ru-RU"/>
            </w:rPr>
            <w:instrText xml:space="preserve"> PAGE   \* MERGEFORMAT </w:instrText>
          </w:r>
          <w:r w:rsidRPr="006F635A">
            <w:rPr>
              <w:rFonts w:ascii="Calibri Light" w:eastAsia="Times New Roman" w:hAnsi="Calibri Light" w:cs="Times New Roman"/>
              <w:b/>
              <w:i/>
              <w:sz w:val="18"/>
              <w:szCs w:val="18"/>
              <w:lang w:eastAsia="ru-RU"/>
            </w:rPr>
            <w:fldChar w:fldCharType="separate"/>
          </w:r>
          <w:r w:rsidR="008E3BF6">
            <w:rPr>
              <w:rFonts w:ascii="Calibri Light" w:eastAsia="Times New Roman" w:hAnsi="Calibri Light" w:cs="Times New Roman"/>
              <w:b/>
              <w:i/>
              <w:noProof/>
              <w:sz w:val="18"/>
              <w:szCs w:val="18"/>
              <w:lang w:eastAsia="ru-RU"/>
            </w:rPr>
            <w:t>1</w:t>
          </w:r>
          <w:r w:rsidRPr="006F635A">
            <w:rPr>
              <w:rFonts w:ascii="Calibri Light" w:eastAsia="Times New Roman" w:hAnsi="Calibri Light" w:cs="Times New Roman"/>
              <w:b/>
              <w:i/>
              <w:sz w:val="18"/>
              <w:szCs w:val="18"/>
              <w:lang w:eastAsia="ru-RU"/>
            </w:rPr>
            <w:fldChar w:fldCharType="end"/>
          </w:r>
        </w:p>
      </w:tc>
      <w:tc>
        <w:tcPr>
          <w:tcW w:w="1131" w:type="dxa"/>
          <w:tcBorders>
            <w:top w:val="nil"/>
            <w:left w:val="single" w:sz="18" w:space="0" w:color="auto"/>
            <w:bottom w:val="single" w:sz="18" w:space="0" w:color="auto"/>
            <w:right w:val="nil"/>
          </w:tcBorders>
          <w:vAlign w:val="center"/>
        </w:tcPr>
        <w:p w14:paraId="4C6975B6" w14:textId="77777777" w:rsidR="006F635A" w:rsidRPr="006F635A" w:rsidRDefault="006F635A" w:rsidP="006F3259">
          <w:pPr>
            <w:jc w:val="center"/>
            <w:rPr>
              <w:rFonts w:ascii="Calibri Light" w:eastAsia="Times New Roman" w:hAnsi="Calibri Light" w:cs="Times New Roman"/>
              <w:b/>
              <w:i/>
              <w:sz w:val="18"/>
              <w:szCs w:val="18"/>
              <w:lang w:eastAsia="ru-RU"/>
            </w:rPr>
          </w:pPr>
          <w:r w:rsidRPr="006F635A">
            <w:rPr>
              <w:rFonts w:ascii="Calibri" w:eastAsia="Times New Roman" w:hAnsi="Calibri" w:cs="Times New Roman"/>
              <w:szCs w:val="24"/>
              <w:lang w:val="en-US"/>
            </w:rPr>
            <w:fldChar w:fldCharType="begin"/>
          </w:r>
          <w:r w:rsidRPr="006F635A">
            <w:rPr>
              <w:rFonts w:ascii="Calibri" w:eastAsia="Calibri" w:hAnsi="Calibri" w:cs="Times New Roman"/>
              <w:lang w:val="en-US"/>
            </w:rPr>
            <w:instrText xml:space="preserve"> NUMPAGES   \* MERGEFORMAT </w:instrText>
          </w:r>
          <w:r w:rsidRPr="006F635A">
            <w:rPr>
              <w:rFonts w:ascii="Calibri" w:eastAsia="Times New Roman" w:hAnsi="Calibri" w:cs="Times New Roman"/>
              <w:szCs w:val="24"/>
              <w:lang w:val="en-US"/>
            </w:rPr>
            <w:fldChar w:fldCharType="separate"/>
          </w:r>
          <w:r w:rsidR="008E3BF6" w:rsidRPr="008E3BF6">
            <w:rPr>
              <w:rFonts w:ascii="Calibri Light" w:eastAsia="Times New Roman" w:hAnsi="Calibri Light" w:cs="Times New Roman"/>
              <w:b/>
              <w:i/>
              <w:noProof/>
              <w:sz w:val="18"/>
              <w:szCs w:val="18"/>
              <w:lang w:eastAsia="ru-RU" w:bidi="ar-SA"/>
            </w:rPr>
            <w:t>3</w:t>
          </w:r>
          <w:r w:rsidRPr="006F635A">
            <w:rPr>
              <w:rFonts w:ascii="Calibri Light" w:eastAsia="Times New Roman" w:hAnsi="Calibri Light" w:cs="Times New Roman"/>
              <w:b/>
              <w:i/>
              <w:noProof/>
              <w:sz w:val="18"/>
              <w:szCs w:val="18"/>
              <w:lang w:eastAsia="ru-RU"/>
            </w:rPr>
            <w:fldChar w:fldCharType="end"/>
          </w:r>
        </w:p>
      </w:tc>
    </w:tr>
    <w:tr w:rsidR="006F635A" w:rsidRPr="006F635A" w14:paraId="5BB6F3F6" w14:textId="77777777" w:rsidTr="006F3259">
      <w:trPr>
        <w:cantSplit/>
        <w:trHeight w:hRule="exact" w:val="284"/>
      </w:trPr>
      <w:tc>
        <w:tcPr>
          <w:tcW w:w="964" w:type="dxa"/>
          <w:gridSpan w:val="2"/>
          <w:tcBorders>
            <w:left w:val="nil"/>
            <w:bottom w:val="single" w:sz="4" w:space="0" w:color="auto"/>
            <w:right w:val="single" w:sz="18" w:space="0" w:color="auto"/>
          </w:tcBorders>
          <w:vAlign w:val="center"/>
        </w:tcPr>
        <w:p w14:paraId="12EE6448" w14:textId="77777777" w:rsidR="006F635A" w:rsidRPr="006F635A" w:rsidRDefault="006F635A" w:rsidP="006F3259">
          <w:pPr>
            <w:ind w:firstLine="28"/>
            <w:rPr>
              <w:rFonts w:ascii="Calibri Light" w:eastAsia="Times New Roman" w:hAnsi="Calibri Light" w:cs="Times New Roman"/>
              <w:b/>
              <w:i/>
              <w:sz w:val="18"/>
              <w:szCs w:val="18"/>
              <w:lang w:eastAsia="ru-RU"/>
            </w:rPr>
          </w:pPr>
        </w:p>
      </w:tc>
      <w:tc>
        <w:tcPr>
          <w:tcW w:w="1301" w:type="dxa"/>
          <w:tcBorders>
            <w:left w:val="single" w:sz="18" w:space="0" w:color="auto"/>
            <w:right w:val="single" w:sz="18" w:space="0" w:color="auto"/>
          </w:tcBorders>
          <w:vAlign w:val="center"/>
        </w:tcPr>
        <w:p w14:paraId="5E89DE85" w14:textId="77777777" w:rsidR="006F635A" w:rsidRPr="006F635A" w:rsidRDefault="006F635A" w:rsidP="006F3259">
          <w:pPr>
            <w:jc w:val="center"/>
            <w:rPr>
              <w:rFonts w:ascii="Calibri Light" w:eastAsia="Times New Roman" w:hAnsi="Calibri Light" w:cs="Times New Roman"/>
              <w:b/>
              <w:i/>
              <w:sz w:val="18"/>
              <w:szCs w:val="18"/>
              <w:lang w:eastAsia="ru-RU"/>
            </w:rPr>
          </w:pPr>
        </w:p>
      </w:tc>
      <w:tc>
        <w:tcPr>
          <w:tcW w:w="849" w:type="dxa"/>
          <w:tcBorders>
            <w:left w:val="single" w:sz="18" w:space="0" w:color="auto"/>
            <w:right w:val="single" w:sz="18" w:space="0" w:color="auto"/>
          </w:tcBorders>
          <w:vAlign w:val="center"/>
        </w:tcPr>
        <w:p w14:paraId="6A2A6F47" w14:textId="77777777" w:rsidR="006F635A" w:rsidRPr="006F635A" w:rsidRDefault="006F635A" w:rsidP="006F3259">
          <w:pPr>
            <w:jc w:val="center"/>
            <w:rPr>
              <w:rFonts w:ascii="Calibri Light" w:eastAsia="Times New Roman" w:hAnsi="Calibri Light" w:cs="Times New Roman"/>
              <w:b/>
              <w:i/>
              <w:sz w:val="18"/>
              <w:szCs w:val="18"/>
              <w:lang w:eastAsia="ru-RU"/>
            </w:rPr>
          </w:pPr>
        </w:p>
      </w:tc>
      <w:tc>
        <w:tcPr>
          <w:tcW w:w="566" w:type="dxa"/>
          <w:tcBorders>
            <w:left w:val="single" w:sz="18" w:space="0" w:color="auto"/>
            <w:right w:val="single" w:sz="18" w:space="0" w:color="auto"/>
          </w:tcBorders>
          <w:vAlign w:val="center"/>
        </w:tcPr>
        <w:p w14:paraId="78FBE443" w14:textId="77777777" w:rsidR="006F635A" w:rsidRPr="006F635A" w:rsidRDefault="006F635A" w:rsidP="006F3259">
          <w:pPr>
            <w:jc w:val="center"/>
            <w:rPr>
              <w:rFonts w:ascii="Calibri Light" w:eastAsia="Times New Roman" w:hAnsi="Calibri Light" w:cs="Times New Roman"/>
              <w:b/>
              <w:i/>
              <w:sz w:val="18"/>
              <w:szCs w:val="18"/>
              <w:lang w:eastAsia="ru-RU"/>
            </w:rPr>
          </w:pPr>
        </w:p>
      </w:tc>
      <w:tc>
        <w:tcPr>
          <w:tcW w:w="3959" w:type="dxa"/>
          <w:vMerge/>
          <w:tcBorders>
            <w:left w:val="single" w:sz="18" w:space="0" w:color="auto"/>
            <w:right w:val="single" w:sz="18" w:space="0" w:color="auto"/>
          </w:tcBorders>
          <w:vAlign w:val="center"/>
        </w:tcPr>
        <w:p w14:paraId="7270C6A3" w14:textId="77777777" w:rsidR="006F635A" w:rsidRPr="006F635A" w:rsidRDefault="006F635A" w:rsidP="006F3259">
          <w:pPr>
            <w:jc w:val="center"/>
            <w:rPr>
              <w:rFonts w:ascii="Calibri Light" w:eastAsia="Times New Roman" w:hAnsi="Calibri Light" w:cs="Times New Roman"/>
              <w:b/>
              <w:i/>
              <w:sz w:val="18"/>
              <w:szCs w:val="18"/>
              <w:lang w:eastAsia="ru-RU"/>
            </w:rPr>
          </w:pPr>
        </w:p>
      </w:tc>
      <w:tc>
        <w:tcPr>
          <w:tcW w:w="2828" w:type="dxa"/>
          <w:gridSpan w:val="5"/>
          <w:vMerge w:val="restart"/>
          <w:tcBorders>
            <w:top w:val="single" w:sz="18" w:space="0" w:color="auto"/>
            <w:left w:val="single" w:sz="18" w:space="0" w:color="auto"/>
            <w:right w:val="nil"/>
          </w:tcBorders>
          <w:vAlign w:val="center"/>
        </w:tcPr>
        <w:p w14:paraId="6B81556C" w14:textId="77777777" w:rsidR="006F635A" w:rsidRPr="006F635A" w:rsidRDefault="006F635A" w:rsidP="006F3259">
          <w:pPr>
            <w:jc w:val="center"/>
            <w:rPr>
              <w:rFonts w:ascii="Calibri Light" w:eastAsia="Times New Roman" w:hAnsi="Calibri Light" w:cs="Times New Roman"/>
              <w:b/>
              <w:i/>
              <w:sz w:val="18"/>
              <w:szCs w:val="18"/>
              <w:lang w:eastAsia="ru-RU"/>
            </w:rPr>
          </w:pPr>
        </w:p>
      </w:tc>
    </w:tr>
    <w:tr w:rsidR="006F635A" w:rsidRPr="006F635A" w14:paraId="15D727F9" w14:textId="77777777" w:rsidTr="006F3259">
      <w:trPr>
        <w:cantSplit/>
        <w:trHeight w:hRule="exact" w:val="284"/>
      </w:trPr>
      <w:tc>
        <w:tcPr>
          <w:tcW w:w="964" w:type="dxa"/>
          <w:gridSpan w:val="2"/>
          <w:tcBorders>
            <w:left w:val="nil"/>
            <w:bottom w:val="single" w:sz="4" w:space="0" w:color="auto"/>
            <w:right w:val="single" w:sz="18" w:space="0" w:color="auto"/>
          </w:tcBorders>
          <w:vAlign w:val="center"/>
        </w:tcPr>
        <w:p w14:paraId="14BA1B95" w14:textId="77777777" w:rsidR="006F635A" w:rsidRPr="006F635A" w:rsidRDefault="006F635A" w:rsidP="006F3259">
          <w:pPr>
            <w:ind w:firstLine="28"/>
            <w:rPr>
              <w:rFonts w:ascii="Calibri Light" w:eastAsia="Times New Roman" w:hAnsi="Calibri Light" w:cs="Times New Roman"/>
              <w:b/>
              <w:i/>
              <w:sz w:val="18"/>
              <w:szCs w:val="18"/>
              <w:lang w:eastAsia="ru-RU"/>
            </w:rPr>
          </w:pPr>
          <w:proofErr w:type="spellStart"/>
          <w:r w:rsidRPr="006F635A">
            <w:rPr>
              <w:rFonts w:ascii="Calibri Light" w:eastAsia="Times New Roman" w:hAnsi="Calibri Light" w:cs="Times New Roman"/>
              <w:b/>
              <w:i/>
              <w:sz w:val="18"/>
              <w:szCs w:val="18"/>
              <w:lang w:eastAsia="ru-RU"/>
            </w:rPr>
            <w:t>Н.контр</w:t>
          </w:r>
          <w:proofErr w:type="spellEnd"/>
          <w:r w:rsidRPr="006F635A">
            <w:rPr>
              <w:rFonts w:ascii="Calibri Light" w:eastAsia="Times New Roman" w:hAnsi="Calibri Light" w:cs="Times New Roman"/>
              <w:b/>
              <w:i/>
              <w:sz w:val="18"/>
              <w:szCs w:val="18"/>
              <w:lang w:eastAsia="ru-RU"/>
            </w:rPr>
            <w:t>.</w:t>
          </w:r>
        </w:p>
      </w:tc>
      <w:tc>
        <w:tcPr>
          <w:tcW w:w="1301" w:type="dxa"/>
          <w:tcBorders>
            <w:left w:val="single" w:sz="18" w:space="0" w:color="auto"/>
            <w:right w:val="single" w:sz="18" w:space="0" w:color="auto"/>
          </w:tcBorders>
          <w:vAlign w:val="center"/>
        </w:tcPr>
        <w:p w14:paraId="42C0D63B" w14:textId="77777777" w:rsidR="006F635A" w:rsidRPr="006F635A" w:rsidRDefault="006F635A" w:rsidP="006F3259">
          <w:pPr>
            <w:jc w:val="center"/>
            <w:rPr>
              <w:rFonts w:ascii="Calibri Light" w:eastAsia="Times New Roman" w:hAnsi="Calibri Light" w:cs="Times New Roman"/>
              <w:b/>
              <w:i/>
              <w:sz w:val="18"/>
              <w:szCs w:val="18"/>
              <w:lang w:eastAsia="ru-RU"/>
            </w:rPr>
          </w:pPr>
        </w:p>
      </w:tc>
      <w:tc>
        <w:tcPr>
          <w:tcW w:w="849" w:type="dxa"/>
          <w:tcBorders>
            <w:left w:val="single" w:sz="18" w:space="0" w:color="auto"/>
            <w:right w:val="single" w:sz="18" w:space="0" w:color="auto"/>
          </w:tcBorders>
          <w:vAlign w:val="center"/>
        </w:tcPr>
        <w:p w14:paraId="7AE76AA0" w14:textId="77777777" w:rsidR="006F635A" w:rsidRPr="006F635A" w:rsidRDefault="006F635A" w:rsidP="006F3259">
          <w:pPr>
            <w:jc w:val="center"/>
            <w:rPr>
              <w:rFonts w:ascii="Calibri Light" w:eastAsia="Times New Roman" w:hAnsi="Calibri Light" w:cs="Times New Roman"/>
              <w:b/>
              <w:i/>
              <w:sz w:val="18"/>
              <w:szCs w:val="18"/>
              <w:lang w:eastAsia="ru-RU"/>
            </w:rPr>
          </w:pPr>
        </w:p>
      </w:tc>
      <w:tc>
        <w:tcPr>
          <w:tcW w:w="566" w:type="dxa"/>
          <w:tcBorders>
            <w:left w:val="single" w:sz="18" w:space="0" w:color="auto"/>
            <w:right w:val="single" w:sz="18" w:space="0" w:color="auto"/>
          </w:tcBorders>
          <w:vAlign w:val="center"/>
        </w:tcPr>
        <w:p w14:paraId="1AF26A1F" w14:textId="77777777" w:rsidR="006F635A" w:rsidRPr="006F635A" w:rsidRDefault="006F635A" w:rsidP="006F3259">
          <w:pPr>
            <w:jc w:val="center"/>
            <w:rPr>
              <w:rFonts w:ascii="Calibri Light" w:eastAsia="Times New Roman" w:hAnsi="Calibri Light" w:cs="Times New Roman"/>
              <w:b/>
              <w:i/>
              <w:sz w:val="18"/>
              <w:szCs w:val="18"/>
              <w:lang w:eastAsia="ru-RU"/>
            </w:rPr>
          </w:pPr>
        </w:p>
      </w:tc>
      <w:tc>
        <w:tcPr>
          <w:tcW w:w="3959" w:type="dxa"/>
          <w:vMerge/>
          <w:tcBorders>
            <w:left w:val="single" w:sz="18" w:space="0" w:color="auto"/>
            <w:right w:val="single" w:sz="18" w:space="0" w:color="auto"/>
          </w:tcBorders>
          <w:vAlign w:val="center"/>
        </w:tcPr>
        <w:p w14:paraId="60DDF39D" w14:textId="77777777" w:rsidR="006F635A" w:rsidRPr="006F635A" w:rsidRDefault="006F635A" w:rsidP="006F3259">
          <w:pPr>
            <w:jc w:val="center"/>
            <w:rPr>
              <w:rFonts w:ascii="Calibri Light" w:eastAsia="Times New Roman" w:hAnsi="Calibri Light" w:cs="Times New Roman"/>
              <w:b/>
              <w:i/>
              <w:sz w:val="18"/>
              <w:szCs w:val="18"/>
              <w:lang w:eastAsia="ru-RU"/>
            </w:rPr>
          </w:pPr>
        </w:p>
      </w:tc>
      <w:tc>
        <w:tcPr>
          <w:tcW w:w="2828" w:type="dxa"/>
          <w:gridSpan w:val="5"/>
          <w:vMerge/>
          <w:tcBorders>
            <w:top w:val="nil"/>
            <w:left w:val="single" w:sz="18" w:space="0" w:color="auto"/>
            <w:right w:val="nil"/>
          </w:tcBorders>
          <w:vAlign w:val="center"/>
        </w:tcPr>
        <w:p w14:paraId="3DD7AB65" w14:textId="77777777" w:rsidR="006F635A" w:rsidRPr="006F635A" w:rsidRDefault="006F635A" w:rsidP="006F3259">
          <w:pPr>
            <w:jc w:val="center"/>
            <w:rPr>
              <w:rFonts w:ascii="Calibri Light" w:eastAsia="Times New Roman" w:hAnsi="Calibri Light" w:cs="Times New Roman"/>
              <w:b/>
              <w:i/>
              <w:sz w:val="18"/>
              <w:szCs w:val="18"/>
              <w:lang w:eastAsia="ru-RU"/>
            </w:rPr>
          </w:pPr>
        </w:p>
      </w:tc>
    </w:tr>
    <w:tr w:rsidR="006F635A" w:rsidRPr="006F635A" w14:paraId="482BB05E" w14:textId="77777777" w:rsidTr="006F3259">
      <w:trPr>
        <w:cantSplit/>
        <w:trHeight w:hRule="exact" w:val="284"/>
      </w:trPr>
      <w:tc>
        <w:tcPr>
          <w:tcW w:w="964" w:type="dxa"/>
          <w:gridSpan w:val="2"/>
          <w:tcBorders>
            <w:left w:val="nil"/>
            <w:bottom w:val="nil"/>
            <w:right w:val="single" w:sz="18" w:space="0" w:color="auto"/>
          </w:tcBorders>
          <w:vAlign w:val="center"/>
        </w:tcPr>
        <w:p w14:paraId="7A252C9B" w14:textId="77777777" w:rsidR="006F635A" w:rsidRPr="006F635A" w:rsidRDefault="006F635A" w:rsidP="006F3259">
          <w:pPr>
            <w:ind w:firstLine="28"/>
            <w:rPr>
              <w:rFonts w:ascii="Calibri Light" w:eastAsia="Times New Roman" w:hAnsi="Calibri Light" w:cs="Times New Roman"/>
              <w:b/>
              <w:i/>
              <w:sz w:val="18"/>
              <w:szCs w:val="18"/>
              <w:lang w:eastAsia="ru-RU"/>
            </w:rPr>
          </w:pPr>
          <w:r w:rsidRPr="006F635A">
            <w:rPr>
              <w:rFonts w:ascii="Calibri Light" w:eastAsia="Times New Roman" w:hAnsi="Calibri Light" w:cs="Times New Roman"/>
              <w:b/>
              <w:i/>
              <w:sz w:val="18"/>
              <w:szCs w:val="18"/>
              <w:lang w:eastAsia="ru-RU"/>
            </w:rPr>
            <w:t>Утв.</w:t>
          </w:r>
        </w:p>
      </w:tc>
      <w:tc>
        <w:tcPr>
          <w:tcW w:w="1301" w:type="dxa"/>
          <w:tcBorders>
            <w:left w:val="single" w:sz="18" w:space="0" w:color="auto"/>
            <w:bottom w:val="nil"/>
            <w:right w:val="single" w:sz="18" w:space="0" w:color="auto"/>
          </w:tcBorders>
          <w:vAlign w:val="center"/>
        </w:tcPr>
        <w:p w14:paraId="7F2D3C80" w14:textId="77777777" w:rsidR="006F635A" w:rsidRPr="006F635A" w:rsidRDefault="006F635A" w:rsidP="006F3259">
          <w:pPr>
            <w:jc w:val="center"/>
            <w:rPr>
              <w:rFonts w:ascii="Calibri Light" w:eastAsia="Times New Roman" w:hAnsi="Calibri Light" w:cs="Times New Roman"/>
              <w:b/>
              <w:i/>
              <w:sz w:val="18"/>
              <w:szCs w:val="18"/>
              <w:lang w:eastAsia="ru-RU"/>
            </w:rPr>
          </w:pPr>
        </w:p>
      </w:tc>
      <w:tc>
        <w:tcPr>
          <w:tcW w:w="849" w:type="dxa"/>
          <w:tcBorders>
            <w:left w:val="single" w:sz="18" w:space="0" w:color="auto"/>
            <w:bottom w:val="nil"/>
            <w:right w:val="single" w:sz="18" w:space="0" w:color="auto"/>
          </w:tcBorders>
          <w:vAlign w:val="center"/>
        </w:tcPr>
        <w:p w14:paraId="057706FF" w14:textId="77777777" w:rsidR="006F635A" w:rsidRPr="006F635A" w:rsidRDefault="006F635A" w:rsidP="006F3259">
          <w:pPr>
            <w:jc w:val="center"/>
            <w:rPr>
              <w:rFonts w:ascii="Calibri Light" w:eastAsia="Times New Roman" w:hAnsi="Calibri Light" w:cs="Times New Roman"/>
              <w:b/>
              <w:i/>
              <w:sz w:val="18"/>
              <w:szCs w:val="18"/>
              <w:lang w:eastAsia="ru-RU"/>
            </w:rPr>
          </w:pPr>
        </w:p>
      </w:tc>
      <w:tc>
        <w:tcPr>
          <w:tcW w:w="566" w:type="dxa"/>
          <w:tcBorders>
            <w:left w:val="single" w:sz="18" w:space="0" w:color="auto"/>
            <w:bottom w:val="nil"/>
            <w:right w:val="single" w:sz="18" w:space="0" w:color="auto"/>
          </w:tcBorders>
          <w:vAlign w:val="center"/>
        </w:tcPr>
        <w:p w14:paraId="425407EE" w14:textId="77777777" w:rsidR="006F635A" w:rsidRPr="006F635A" w:rsidRDefault="006F635A" w:rsidP="006F3259">
          <w:pPr>
            <w:jc w:val="center"/>
            <w:rPr>
              <w:rFonts w:ascii="Calibri Light" w:eastAsia="Times New Roman" w:hAnsi="Calibri Light" w:cs="Times New Roman"/>
              <w:b/>
              <w:i/>
              <w:sz w:val="18"/>
              <w:szCs w:val="18"/>
              <w:lang w:eastAsia="ru-RU"/>
            </w:rPr>
          </w:pPr>
        </w:p>
      </w:tc>
      <w:tc>
        <w:tcPr>
          <w:tcW w:w="3959" w:type="dxa"/>
          <w:vMerge/>
          <w:tcBorders>
            <w:left w:val="single" w:sz="18" w:space="0" w:color="auto"/>
            <w:bottom w:val="nil"/>
            <w:right w:val="single" w:sz="18" w:space="0" w:color="auto"/>
          </w:tcBorders>
          <w:vAlign w:val="center"/>
        </w:tcPr>
        <w:p w14:paraId="2CC0FE25" w14:textId="77777777" w:rsidR="006F635A" w:rsidRPr="006F635A" w:rsidRDefault="006F635A" w:rsidP="006F3259">
          <w:pPr>
            <w:jc w:val="center"/>
            <w:rPr>
              <w:rFonts w:ascii="Calibri Light" w:eastAsia="Times New Roman" w:hAnsi="Calibri Light" w:cs="Times New Roman"/>
              <w:b/>
              <w:i/>
              <w:sz w:val="18"/>
              <w:szCs w:val="18"/>
              <w:lang w:eastAsia="ru-RU"/>
            </w:rPr>
          </w:pPr>
        </w:p>
      </w:tc>
      <w:tc>
        <w:tcPr>
          <w:tcW w:w="2828" w:type="dxa"/>
          <w:gridSpan w:val="5"/>
          <w:vMerge/>
          <w:tcBorders>
            <w:top w:val="nil"/>
            <w:left w:val="single" w:sz="18" w:space="0" w:color="auto"/>
            <w:bottom w:val="nil"/>
            <w:right w:val="nil"/>
          </w:tcBorders>
          <w:vAlign w:val="center"/>
        </w:tcPr>
        <w:p w14:paraId="02E28C44" w14:textId="77777777" w:rsidR="006F635A" w:rsidRPr="006F635A" w:rsidRDefault="006F635A" w:rsidP="006F3259">
          <w:pPr>
            <w:jc w:val="center"/>
            <w:rPr>
              <w:rFonts w:ascii="Calibri Light" w:eastAsia="Times New Roman" w:hAnsi="Calibri Light" w:cs="Times New Roman"/>
              <w:b/>
              <w:i/>
              <w:sz w:val="18"/>
              <w:szCs w:val="18"/>
              <w:lang w:eastAsia="ru-RU"/>
            </w:rPr>
          </w:pPr>
        </w:p>
      </w:tc>
    </w:tr>
  </w:tbl>
  <w:p w14:paraId="4F19F1AC" w14:textId="77777777" w:rsidR="006F635A" w:rsidRPr="006F635A" w:rsidRDefault="006F635A">
    <w:pPr>
      <w:pStyle w:val="af2"/>
      <w:rPr>
        <w:sz w:val="2"/>
        <w:szCs w:val="2"/>
      </w:rP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15:restartNumberingAfterBreak="0" w:abstractNumId="0">
    <w:nsid w:val="FFFFFF7C"/>
    <w:multiLevelType w:val="singleLevel"/>
    <w:tmpl w:val="C65E8AD6"/>
    <w:lvl w:ilvl="0">
      <w:start w:val="1"/>
      <w:numFmt w:val="decimal"/>
      <w:lvlText w:val="%1."/>
      <w:lvlJc w:val="left"/>
      <w:pPr>
        <w:tabs>
          <w:tab w:pos="1492" w:val="num"/>
        </w:tabs>
        <w:ind w:hanging="360" w:left="1492"/>
      </w:pPr>
    </w:lvl>
  </w:abstractNum>
  <w:abstractNum w15:restartNumberingAfterBreak="0" w:abstractNumId="1">
    <w:nsid w:val="FFFFFF7D"/>
    <w:multiLevelType w:val="singleLevel"/>
    <w:tmpl w:val="BFFA5442"/>
    <w:lvl w:ilvl="0">
      <w:start w:val="1"/>
      <w:numFmt w:val="decimal"/>
      <w:lvlText w:val="%1."/>
      <w:lvlJc w:val="left"/>
      <w:pPr>
        <w:tabs>
          <w:tab w:pos="1209" w:val="num"/>
        </w:tabs>
        <w:ind w:hanging="360" w:left="1209"/>
      </w:pPr>
    </w:lvl>
  </w:abstractNum>
  <w:abstractNum w15:restartNumberingAfterBreak="0" w:abstractNumId="2">
    <w:nsid w:val="FFFFFF7E"/>
    <w:multiLevelType w:val="singleLevel"/>
    <w:tmpl w:val="A740B9F6"/>
    <w:lvl w:ilvl="0">
      <w:start w:val="1"/>
      <w:numFmt w:val="decimal"/>
      <w:lvlText w:val="%1."/>
      <w:lvlJc w:val="left"/>
      <w:pPr>
        <w:tabs>
          <w:tab w:pos="926" w:val="num"/>
        </w:tabs>
        <w:ind w:hanging="360" w:left="926"/>
      </w:pPr>
    </w:lvl>
  </w:abstractNum>
  <w:abstractNum w15:restartNumberingAfterBreak="0" w:abstractNumId="3">
    <w:nsid w:val="FFFFFF7F"/>
    <w:multiLevelType w:val="singleLevel"/>
    <w:tmpl w:val="F30843F0"/>
    <w:lvl w:ilvl="0">
      <w:start w:val="1"/>
      <w:numFmt w:val="decimal"/>
      <w:lvlText w:val="%1."/>
      <w:lvlJc w:val="left"/>
      <w:pPr>
        <w:tabs>
          <w:tab w:pos="643" w:val="num"/>
        </w:tabs>
        <w:ind w:hanging="360" w:left="643"/>
      </w:pPr>
    </w:lvl>
  </w:abstractNum>
  <w:abstractNum w15:restartNumberingAfterBreak="0" w:abstractNumId="4">
    <w:nsid w:val="FFFFFF80"/>
    <w:multiLevelType w:val="singleLevel"/>
    <w:tmpl w:val="CCA8DCC4"/>
    <w:lvl w:ilvl="0">
      <w:start w:val="1"/>
      <w:numFmt w:val="bullet"/>
      <w:lvlText w:val=""/>
      <w:lvlJc w:val="left"/>
      <w:pPr>
        <w:tabs>
          <w:tab w:pos="1492" w:val="num"/>
        </w:tabs>
        <w:ind w:hanging="360" w:left="1492"/>
      </w:pPr>
      <w:rPr>
        <w:rFonts w:ascii="Symbol" w:hAnsi="Symbol" w:hint="default"/>
      </w:rPr>
    </w:lvl>
  </w:abstractNum>
  <w:abstractNum w15:restartNumberingAfterBreak="0" w:abstractNumId="5">
    <w:nsid w:val="FFFFFF81"/>
    <w:multiLevelType w:val="singleLevel"/>
    <w:tmpl w:val="6106BB60"/>
    <w:lvl w:ilvl="0">
      <w:start w:val="1"/>
      <w:numFmt w:val="bullet"/>
      <w:lvlText w:val=""/>
      <w:lvlJc w:val="left"/>
      <w:pPr>
        <w:tabs>
          <w:tab w:pos="1209" w:val="num"/>
        </w:tabs>
        <w:ind w:hanging="360" w:left="1209"/>
      </w:pPr>
      <w:rPr>
        <w:rFonts w:ascii="Symbol" w:hAnsi="Symbol" w:hint="default"/>
      </w:rPr>
    </w:lvl>
  </w:abstractNum>
  <w:abstractNum w15:restartNumberingAfterBreak="0" w:abstractNumId="6">
    <w:nsid w:val="FFFFFF82"/>
    <w:multiLevelType w:val="singleLevel"/>
    <w:tmpl w:val="5B94D240"/>
    <w:lvl w:ilvl="0">
      <w:start w:val="1"/>
      <w:numFmt w:val="bullet"/>
      <w:lvlText w:val=""/>
      <w:lvlJc w:val="left"/>
      <w:pPr>
        <w:tabs>
          <w:tab w:pos="926" w:val="num"/>
        </w:tabs>
        <w:ind w:hanging="360" w:left="926"/>
      </w:pPr>
      <w:rPr>
        <w:rFonts w:ascii="Symbol" w:hAnsi="Symbol" w:hint="default"/>
      </w:rPr>
    </w:lvl>
  </w:abstractNum>
  <w:abstractNum w15:restartNumberingAfterBreak="0" w:abstractNumId="7">
    <w:nsid w:val="FFFFFF83"/>
    <w:multiLevelType w:val="singleLevel"/>
    <w:tmpl w:val="E536E5CC"/>
    <w:lvl w:ilvl="0">
      <w:start w:val="1"/>
      <w:numFmt w:val="bullet"/>
      <w:lvlText w:val=""/>
      <w:lvlJc w:val="left"/>
      <w:pPr>
        <w:tabs>
          <w:tab w:pos="643" w:val="num"/>
        </w:tabs>
        <w:ind w:hanging="360" w:left="643"/>
      </w:pPr>
      <w:rPr>
        <w:rFonts w:ascii="Symbol" w:hAnsi="Symbol" w:hint="default"/>
      </w:rPr>
    </w:lvl>
  </w:abstractNum>
  <w:abstractNum w15:restartNumberingAfterBreak="0" w:abstractNumId="8">
    <w:nsid w:val="FFFFFF88"/>
    <w:multiLevelType w:val="singleLevel"/>
    <w:tmpl w:val="00668E7E"/>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F28C8D08"/>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170CD2DE"/>
    <w:multiLevelType w:val="multilevel"/>
    <w:tmpl w:val="A39299B0"/>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15:restartNumberingAfterBreak="0" w:abstractNumId="11">
    <w:nsid w:val="2890475B"/>
    <w:multiLevelType w:val="multilevel"/>
    <w:tmpl w:val="59D80D98"/>
    <w:lvl w:ilvl="0">
      <w:start w:val="1"/>
      <w:numFmt w:val="decimal"/>
      <w:pStyle w:val="1"/>
      <w:lvlText w:val="%1."/>
      <w:lvlJc w:val="left"/>
      <w:pPr>
        <w:ind w:hanging="360" w:left="360"/>
      </w:pPr>
    </w:lvl>
    <w:lvl w:ilvl="1">
      <w:start w:val="1"/>
      <w:numFmt w:val="decimal"/>
      <w:pStyle w:val="2"/>
      <w:lvlText w:val="%1.%2."/>
      <w:lvlJc w:val="left"/>
      <w:pPr>
        <w:ind w:hanging="432" w:left="792"/>
      </w:pPr>
    </w:lvl>
    <w:lvl w:ilvl="2">
      <w:start w:val="1"/>
      <w:numFmt w:val="decimal"/>
      <w:pStyle w:val="3"/>
      <w:lvlText w:val="%1.%2.%3."/>
      <w:lvlJc w:val="left"/>
      <w:pPr>
        <w:ind w:hanging="504" w:left="1224"/>
      </w:pPr>
    </w:lvl>
    <w:lvl w:ilvl="3">
      <w:start w:val="1"/>
      <w:numFmt w:val="decimal"/>
      <w:lvlText w:val="%1.%2.%3.%4."/>
      <w:lvlJc w:val="left"/>
      <w:pPr>
        <w:ind w:hanging="648" w:left="1728"/>
      </w:pPr>
    </w:lvl>
    <w:lvl w:ilvl="4">
      <w:start w:val="1"/>
      <w:numFmt w:val="decimal"/>
      <w:lvlText w:val="%1.%2.%3.%4.%5."/>
      <w:lvlJc w:val="left"/>
      <w:pPr>
        <w:ind w:hanging="792" w:left="2232"/>
      </w:pPr>
    </w:lvl>
    <w:lvl w:ilvl="5">
      <w:start w:val="1"/>
      <w:numFmt w:val="decimal"/>
      <w:lvlText w:val="%1.%2.%3.%4.%5.%6."/>
      <w:lvlJc w:val="left"/>
      <w:pPr>
        <w:ind w:hanging="936" w:left="2736"/>
      </w:pPr>
    </w:lvl>
    <w:lvl w:ilvl="6">
      <w:start w:val="1"/>
      <w:numFmt w:val="decimal"/>
      <w:lvlText w:val="%1.%2.%3.%4.%5.%6.%7."/>
      <w:lvlJc w:val="left"/>
      <w:pPr>
        <w:ind w:hanging="1080" w:left="3240"/>
      </w:pPr>
    </w:lvl>
    <w:lvl w:ilvl="7">
      <w:start w:val="1"/>
      <w:numFmt w:val="decimal"/>
      <w:lvlText w:val="%1.%2.%3.%4.%5.%6.%7.%8."/>
      <w:lvlJc w:val="left"/>
      <w:pPr>
        <w:ind w:hanging="1224" w:left="3744"/>
      </w:pPr>
    </w:lvl>
    <w:lvl w:ilvl="8">
      <w:start w:val="1"/>
      <w:numFmt w:val="decimal"/>
      <w:lvlText w:val="%1.%2.%3.%4.%5.%6.%7.%8.%9."/>
      <w:lvlJc w:val="left"/>
      <w:pPr>
        <w:ind w:hanging="1440" w:left="4320"/>
      </w:pPr>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doNotTrackMoves/>
  <w:savePreviewPicture/>
  <w:rsids>
  </w:rsids>
  <w:clrSchemeMapping w:accent1="accent1" w:accent2="accent2" w:accent3="accent3" w:accent4="accent4" w:accent5="accent5" w:accent6="accent6" w:bg1="light1" w:bg2="light2" w:followedHyperlink="followedHyperlink" w:hyperlink="hyperlink" w:t1="dark1" w:t2="dark2"/>
  <w:zoom w:percent="110"/>
  <w:embedSystemFonts/>
  <w:proofState w:grammar="clean" w:spelling="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val="0"/>
    <m:lMargin m:val="0"/>
    <m:rMargin m:val="0"/>
    <m:defJc m:val="centerGroup"/>
    <m:wrapRight/>
    <m:intLim m:val="subSup"/>
    <m:naryLim m:val="subSup"/>
  </m:mathPr>
  <w:themeFontLang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heme="minorHAnsi" w:cstheme="minorBidi" w:eastAsiaTheme="minorHAnsi" w:hAnsiTheme="minorHAnsi"/>
        <w:sz w:val="24"/>
        <w:szCs w:val="24"/>
        <w:lang w:bidi="ar-SA" w:eastAsia="en-US" w:val="ru-RU"/>
      </w:rPr>
    </w:rPrDefault>
    <w:pPrDefault>
      <w:pPr>
        <w:spacing w:after="200"/>
      </w:pPr>
    </w:pPrDefault>
  </w:docDefaults>
  <w:latentStyles w:count="376" w:defLockedState="0" w:defQFormat="0" w:defSemiHidden="0" w:defUIPriority="0" w:defUnhideWhenUsed="0">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qFormat="1"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a" w:type="paragraph">
    <w:name w:val="Normal"/>
    <w:qFormat/>
    <w:rsid w:val="006D6D89"/>
    <w:rPr>
      <w:sz w:val="22"/>
      <w:lang w:val="ru-RU"/>
    </w:rPr>
  </w:style>
  <w:style w:styleId="1" w:type="paragraph">
    <w:name w:val="heading 1"/>
    <w:basedOn w:val="a"/>
    <w:next w:val="a0"/>
    <w:uiPriority w:val="9"/>
    <w:qFormat/>
    <w:rsid w:val="006D6D89"/>
    <w:pPr>
      <w:keepNext/>
      <w:keepLines/>
      <w:pageBreakBefore/>
      <w:numPr>
        <w:numId w:val="12"/>
      </w:numPr>
      <w:tabs>
        <w:tab w:pos="426" w:val="left"/>
      </w:tabs>
      <w:spacing w:after="0" w:before="480"/>
      <w:ind w:firstLine="0" w:left="0"/>
      <w:jc w:val="center"/>
      <w:outlineLvl w:val="0"/>
    </w:pPr>
    <w:rPr>
      <w:rFonts w:asciiTheme="majorHAnsi" w:cstheme="majorBidi" w:eastAsiaTheme="majorEastAsia" w:hAnsiTheme="majorHAnsi"/>
      <w:b/>
      <w:bCs/>
      <w:sz w:val="32"/>
      <w:szCs w:val="32"/>
    </w:rPr>
  </w:style>
  <w:style w:styleId="2" w:type="paragraph">
    <w:name w:val="heading 2"/>
    <w:basedOn w:val="a"/>
    <w:next w:val="a0"/>
    <w:uiPriority w:val="9"/>
    <w:unhideWhenUsed/>
    <w:qFormat/>
    <w:rsid w:val="006D6D89"/>
    <w:pPr>
      <w:keepNext/>
      <w:keepLines/>
      <w:numPr>
        <w:ilvl w:val="1"/>
        <w:numId w:val="12"/>
      </w:numPr>
      <w:spacing w:after="0" w:before="200"/>
      <w:ind w:firstLine="0" w:left="0"/>
      <w:jc w:val="center"/>
      <w:outlineLvl w:val="1"/>
    </w:pPr>
    <w:rPr>
      <w:rFonts w:asciiTheme="majorHAnsi" w:cstheme="majorBidi" w:eastAsiaTheme="majorEastAsia" w:hAnsiTheme="majorHAnsi"/>
      <w:b/>
      <w:bCs/>
      <w:sz w:val="32"/>
      <w:szCs w:val="32"/>
    </w:rPr>
  </w:style>
  <w:style w:styleId="3" w:type="paragraph">
    <w:name w:val="heading 3"/>
    <w:basedOn w:val="a"/>
    <w:next w:val="a0"/>
    <w:uiPriority w:val="9"/>
    <w:unhideWhenUsed/>
    <w:qFormat/>
    <w:rsid w:val="006D6D89"/>
    <w:pPr>
      <w:keepNext/>
      <w:keepLines/>
      <w:numPr>
        <w:ilvl w:val="2"/>
        <w:numId w:val="12"/>
      </w:numPr>
      <w:tabs>
        <w:tab w:pos="1560" w:val="left"/>
      </w:tabs>
      <w:spacing w:after="0" w:before="200"/>
      <w:ind w:firstLine="720" w:left="0"/>
      <w:outlineLvl w:val="2"/>
    </w:pPr>
    <w:rPr>
      <w:rFonts w:asciiTheme="majorHAnsi" w:cstheme="majorBidi" w:eastAsiaTheme="majorEastAsia" w:hAnsiTheme="majorHAnsi"/>
      <w:b/>
      <w:bCs/>
      <w:sz w:val="28"/>
      <w:szCs w:val="28"/>
    </w:rPr>
  </w:style>
  <w:style w:styleId="4" w:type="paragraph">
    <w:name w:val="heading 4"/>
    <w:basedOn w:val="a"/>
    <w:next w:val="a0"/>
    <w:uiPriority w:val="9"/>
    <w:unhideWhenUsed/>
    <w:qFormat/>
    <w:rsid w:val="006D6D89"/>
    <w:pPr>
      <w:keepNext/>
      <w:keepLines/>
      <w:spacing w:after="0" w:before="200"/>
      <w:outlineLvl w:val="3"/>
    </w:pPr>
    <w:rPr>
      <w:rFonts w:asciiTheme="majorHAnsi" w:cstheme="majorBidi" w:eastAsiaTheme="majorEastAsia" w:hAnsiTheme="majorHAnsi"/>
      <w:b/>
      <w:bCs/>
    </w:rPr>
  </w:style>
  <w:style w:styleId="5" w:type="paragraph">
    <w:name w:val="heading 5"/>
    <w:basedOn w:val="a"/>
    <w:next w:val="a0"/>
    <w:uiPriority w:val="9"/>
    <w:unhideWhenUsed/>
    <w:qFormat/>
    <w:rsid w:val="006D6D89"/>
    <w:pPr>
      <w:keepNext/>
      <w:keepLines/>
      <w:spacing w:after="0" w:before="200"/>
      <w:outlineLvl w:val="4"/>
    </w:pPr>
    <w:rPr>
      <w:rFonts w:asciiTheme="majorHAnsi" w:cstheme="majorBidi" w:eastAsiaTheme="majorEastAsia" w:hAnsiTheme="majorHAnsi"/>
      <w:i/>
      <w:iCs/>
    </w:rPr>
  </w:style>
  <w:style w:styleId="6" w:type="paragraph">
    <w:name w:val="heading 6"/>
    <w:basedOn w:val="a"/>
    <w:next w:val="a0"/>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styleId="7" w:type="paragraph">
    <w:name w:val="heading 7"/>
    <w:basedOn w:val="a"/>
    <w:next w:val="a0"/>
    <w:uiPriority w:val="9"/>
    <w:unhideWhenUsed/>
    <w:qFormat/>
    <w:pPr>
      <w:keepNext/>
      <w:keepLines/>
      <w:spacing w:after="0" w:before="200"/>
      <w:outlineLvl w:val="6"/>
    </w:pPr>
    <w:rPr>
      <w:rFonts w:asciiTheme="majorHAnsi" w:cstheme="majorBidi" w:eastAsiaTheme="majorEastAsia" w:hAnsiTheme="majorHAnsi"/>
      <w:color w:themeColor="accent1" w:val="4F81BD"/>
    </w:rPr>
  </w:style>
  <w:style w:styleId="8" w:type="paragraph">
    <w:name w:val="heading 8"/>
    <w:basedOn w:val="a"/>
    <w:next w:val="a0"/>
    <w:uiPriority w:val="9"/>
    <w:unhideWhenUsed/>
    <w:qFormat/>
    <w:pPr>
      <w:keepNext/>
      <w:keepLines/>
      <w:spacing w:after="0" w:before="200"/>
      <w:outlineLvl w:val="7"/>
    </w:pPr>
    <w:rPr>
      <w:rFonts w:asciiTheme="majorHAnsi" w:cstheme="majorBidi" w:eastAsiaTheme="majorEastAsia" w:hAnsiTheme="majorHAnsi"/>
      <w:color w:themeColor="accent1" w:val="4F81BD"/>
    </w:rPr>
  </w:style>
  <w:style w:styleId="9" w:type="paragraph">
    <w:name w:val="heading 9"/>
    <w:basedOn w:val="a"/>
    <w:next w:val="a0"/>
    <w:uiPriority w:val="9"/>
    <w:unhideWhenUsed/>
    <w:qFormat/>
    <w:pPr>
      <w:keepNext/>
      <w:keepLines/>
      <w:spacing w:after="0" w:before="200"/>
      <w:outlineLvl w:val="8"/>
    </w:pPr>
    <w:rPr>
      <w:rFonts w:asciiTheme="majorHAnsi" w:cstheme="majorBidi" w:eastAsiaTheme="majorEastAsia" w:hAnsiTheme="majorHAnsi"/>
      <w:color w:themeColor="accent1" w:val="4F81BD"/>
    </w:rPr>
  </w:style>
  <w:style w:default="1" w:styleId="a1" w:type="character">
    <w:name w:val="Default Paragraph Font"/>
    <w:uiPriority w:val="1"/>
    <w:semiHidden/>
    <w:unhideWhenUsed/>
  </w:style>
  <w:style w:default="1" w:styleId="a2" w:type="table">
    <w:name w:val="Normal Table"/>
    <w:uiPriority w:val="99"/>
    <w:semiHidden/>
    <w:unhideWhenUsed/>
    <w:tblPr>
      <w:tblInd w:type="dxa" w:w="0"/>
      <w:tblCellMar>
        <w:top w:type="dxa" w:w="0"/>
        <w:left w:type="dxa" w:w="108"/>
        <w:bottom w:type="dxa" w:w="0"/>
        <w:right w:type="dxa" w:w="108"/>
      </w:tblCellMar>
    </w:tblPr>
  </w:style>
  <w:style w:default="1" w:styleId="a3" w:type="numbering">
    <w:name w:val="No List"/>
    <w:uiPriority w:val="99"/>
    <w:semiHidden/>
    <w:unhideWhenUsed/>
  </w:style>
  <w:style w:styleId="a0" w:type="paragraph">
    <w:name w:val="Body Text"/>
    <w:basedOn w:val="a"/>
    <w:link w:val="a4"/>
    <w:qFormat/>
    <w:rsid w:val="00E71D79"/>
    <w:pPr>
      <w:spacing w:after="0" w:before="120"/>
      <w:jc w:val="both"/>
    </w:pPr>
  </w:style>
  <w:style w:customStyle="1" w:styleId="FirstParagraph" w:type="paragraph">
    <w:name w:val="First Paragraph"/>
    <w:basedOn w:val="a0"/>
    <w:next w:val="a0"/>
    <w:qFormat/>
  </w:style>
  <w:style w:customStyle="1" w:styleId="Compact" w:type="paragraph">
    <w:name w:val="Compact"/>
    <w:basedOn w:val="a0"/>
    <w:qFormat/>
    <w:pPr>
      <w:spacing w:after="36" w:before="36"/>
    </w:pPr>
  </w:style>
  <w:style w:styleId="a5" w:type="paragraph">
    <w:name w:val="Title"/>
    <w:basedOn w:val="a"/>
    <w:next w:val="a0"/>
    <w:qFormat/>
    <w:rsid w:val="008C6551"/>
    <w:pPr>
      <w:keepNext/>
      <w:keepLines/>
      <w:spacing w:after="240" w:before="480"/>
      <w:jc w:val="center"/>
    </w:pPr>
    <w:rPr>
      <w:rFonts w:asciiTheme="majorHAnsi" w:cstheme="majorBidi" w:eastAsiaTheme="majorEastAsia" w:hAnsiTheme="majorHAnsi"/>
      <w:b/>
      <w:bCs/>
      <w:color w:themeColor="accent1" w:themeShade="B5" w:val="345A8A"/>
      <w:sz w:val="52"/>
      <w:szCs w:val="36"/>
    </w:rPr>
  </w:style>
  <w:style w:styleId="a6" w:type="paragraph">
    <w:name w:val="Subtitle"/>
    <w:basedOn w:val="a5"/>
    <w:next w:val="a0"/>
    <w:qFormat/>
    <w:rsid w:val="008C6551"/>
    <w:pPr>
      <w:spacing w:before="240"/>
    </w:pPr>
    <w:rPr>
      <w:sz w:val="30"/>
      <w:szCs w:val="30"/>
    </w:rPr>
  </w:style>
  <w:style w:customStyle="1" w:styleId="Author" w:type="paragraph">
    <w:name w:val="Author"/>
    <w:next w:val="a0"/>
    <w:qFormat/>
    <w:rsid w:val="008C6551"/>
    <w:pPr>
      <w:keepNext/>
      <w:keepLines/>
      <w:jc w:val="right"/>
    </w:pPr>
    <w:rPr>
      <w:lang w:val="ru-RU"/>
    </w:rPr>
  </w:style>
  <w:style w:styleId="a7" w:type="paragraph">
    <w:name w:val="Date"/>
    <w:next w:val="a0"/>
    <w:qFormat/>
    <w:rsid w:val="008C6551"/>
    <w:pPr>
      <w:keepNext/>
      <w:keepLines/>
      <w:jc w:val="center"/>
    </w:pPr>
    <w:rPr>
      <w:lang w:val="ru-RU"/>
    </w:rPr>
  </w:style>
  <w:style w:customStyle="1" w:styleId="Abstract" w:type="paragraph">
    <w:name w:val="Abstract"/>
    <w:basedOn w:val="a"/>
    <w:next w:val="a0"/>
    <w:qFormat/>
    <w:rsid w:val="008C6551"/>
    <w:pPr>
      <w:keepNext/>
      <w:keepLines/>
      <w:spacing w:after="300" w:before="300"/>
      <w:jc w:val="both"/>
    </w:pPr>
    <w:rPr>
      <w:szCs w:val="20"/>
    </w:rPr>
  </w:style>
  <w:style w:styleId="a8" w:type="paragraph">
    <w:name w:val="Bibliography"/>
    <w:basedOn w:val="a"/>
    <w:qFormat/>
  </w:style>
  <w:style w:styleId="a9" w:type="paragraph">
    <w:name w:val="Block Text"/>
    <w:basedOn w:val="a0"/>
    <w:next w:val="a0"/>
    <w:uiPriority w:val="9"/>
    <w:unhideWhenUsed/>
    <w:qFormat/>
    <w:pPr>
      <w:spacing w:after="100" w:before="100"/>
    </w:pPr>
    <w:rPr>
      <w:rFonts w:asciiTheme="majorHAnsi" w:cstheme="majorBidi" w:eastAsiaTheme="majorEastAsia" w:hAnsiTheme="majorHAnsi"/>
      <w:bCs/>
      <w:sz w:val="20"/>
      <w:szCs w:val="20"/>
    </w:rPr>
  </w:style>
  <w:style w:styleId="aa" w:type="paragraph">
    <w:name w:val="footnote text"/>
    <w:basedOn w:val="a"/>
    <w:uiPriority w:val="9"/>
    <w:unhideWhenUsed/>
    <w:qFormat/>
  </w:style>
  <w:style w:customStyle="1" w:styleId="Table" w:type="table">
    <w:name w:val="Table"/>
    <w:semiHidden/>
    <w:unhideWhenUsed/>
    <w:qFormat/>
    <w:rsid w:val="000E7F61"/>
    <w:pPr>
      <w:spacing w:after="0"/>
    </w:pPr>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57"/>
        <w:bottom w:type="dxa" w:w="0"/>
        <w:right w:type="dxa" w:w="57"/>
      </w:tblCellMar>
    </w:tblPr>
  </w:style>
  <w:style w:customStyle="1" w:styleId="DefinitionTerm" w:type="paragraph">
    <w:name w:val="Definition Term"/>
    <w:basedOn w:val="a"/>
    <w:next w:val="Definition"/>
    <w:pPr>
      <w:keepNext/>
      <w:keepLines/>
      <w:spacing w:after="0"/>
    </w:pPr>
    <w:rPr>
      <w:b/>
    </w:rPr>
  </w:style>
  <w:style w:customStyle="1" w:styleId="Definition" w:type="paragraph">
    <w:name w:val="Definition"/>
    <w:basedOn w:val="a"/>
  </w:style>
  <w:style w:styleId="ab" w:type="paragraph">
    <w:name w:val="caption"/>
    <w:basedOn w:val="a"/>
    <w:link w:val="ac"/>
    <w:pPr>
      <w:spacing w:after="120"/>
    </w:pPr>
    <w:rPr>
      <w:i/>
    </w:rPr>
  </w:style>
  <w:style w:customStyle="1" w:styleId="TableCaption" w:type="paragraph">
    <w:name w:val="Table Caption"/>
    <w:basedOn w:val="ab"/>
    <w:rsid w:val="000A106D"/>
    <w:pPr>
      <w:keepNext/>
      <w:spacing w:after="0" w:before="120"/>
    </w:pPr>
  </w:style>
  <w:style w:customStyle="1" w:styleId="ImageCaption" w:type="paragraph">
    <w:name w:val="Image Caption"/>
    <w:basedOn w:val="ab"/>
    <w:rsid w:val="008C52AD"/>
    <w:pPr>
      <w:jc w:val="center"/>
    </w:pPr>
  </w:style>
  <w:style w:customStyle="1" w:styleId="Figure" w:type="paragraph">
    <w:name w:val="Figure"/>
    <w:basedOn w:val="a"/>
    <w:rsid w:val="008A7C74"/>
    <w:pPr>
      <w:jc w:val="center"/>
    </w:pPr>
  </w:style>
  <w:style w:customStyle="1" w:styleId="CaptionedFigure" w:type="paragraph">
    <w:name w:val="Captioned Figure"/>
    <w:basedOn w:val="Figure"/>
    <w:rsid w:val="008A7C74"/>
    <w:pPr>
      <w:keepNext/>
      <w:spacing w:after="0" w:before="120"/>
    </w:pPr>
  </w:style>
  <w:style w:customStyle="1" w:styleId="ac" w:type="character">
    <w:name w:val="Название объекта Знак"/>
    <w:basedOn w:val="a1"/>
    <w:link w:val="ab"/>
  </w:style>
  <w:style w:customStyle="1" w:styleId="VerbatimChar" w:type="character">
    <w:name w:val="Verbatim Char"/>
    <w:basedOn w:val="ac"/>
    <w:rPr>
      <w:rFonts w:ascii="Consolas" w:hAnsi="Consolas"/>
      <w:sz w:val="22"/>
    </w:rPr>
  </w:style>
  <w:style w:styleId="ad" w:type="character">
    <w:name w:val="footnote reference"/>
    <w:basedOn w:val="ac"/>
    <w:rPr>
      <w:vertAlign w:val="superscript"/>
    </w:rPr>
  </w:style>
  <w:style w:styleId="ae" w:type="character">
    <w:name w:val="Hyperlink"/>
    <w:basedOn w:val="ac"/>
    <w:uiPriority w:val="99"/>
    <w:rPr>
      <w:color w:themeColor="accent1" w:val="4F81BD"/>
    </w:rPr>
  </w:style>
  <w:style w:styleId="af" w:type="paragraph">
    <w:name w:val="TOC Heading"/>
    <w:basedOn w:val="a0"/>
    <w:next w:val="a0"/>
    <w:uiPriority w:val="39"/>
    <w:unhideWhenUsed/>
    <w:qFormat/>
    <w:rsid w:val="006D6D89"/>
    <w:pPr>
      <w:pageBreakBefore/>
      <w:spacing w:before="240" w:line="259" w:lineRule="auto"/>
      <w:jc w:val="center"/>
    </w:pPr>
    <w:rPr>
      <w:b/>
      <w:bCs/>
      <w:sz w:val="32"/>
    </w:rPr>
  </w:style>
  <w:style w:customStyle="1" w:styleId="a4" w:type="character">
    <w:name w:val="Основной текст Знак"/>
    <w:basedOn w:val="a1"/>
    <w:link w:val="a0"/>
    <w:rsid w:val="00E71D79"/>
    <w:rPr>
      <w:sz w:val="22"/>
    </w:rPr>
  </w:style>
  <w:style w:styleId="10" w:type="paragraph">
    <w:name w:val="toc 1"/>
    <w:basedOn w:val="a"/>
    <w:next w:val="a"/>
    <w:autoRedefine/>
    <w:uiPriority w:val="39"/>
    <w:unhideWhenUsed/>
    <w:rsid w:val="009105B7"/>
    <w:pPr>
      <w:spacing w:after="100"/>
    </w:pPr>
  </w:style>
  <w:style w:styleId="20" w:type="paragraph">
    <w:name w:val="toc 2"/>
    <w:basedOn w:val="a"/>
    <w:next w:val="a"/>
    <w:autoRedefine/>
    <w:uiPriority w:val="39"/>
    <w:unhideWhenUsed/>
    <w:rsid w:val="009105B7"/>
    <w:pPr>
      <w:spacing w:after="100"/>
      <w:ind w:left="240"/>
    </w:pPr>
  </w:style>
  <w:style w:styleId="30" w:type="paragraph">
    <w:name w:val="toc 3"/>
    <w:basedOn w:val="a"/>
    <w:next w:val="a"/>
    <w:autoRedefine/>
    <w:uiPriority w:val="39"/>
    <w:unhideWhenUsed/>
    <w:rsid w:val="009105B7"/>
    <w:pPr>
      <w:spacing w:after="100"/>
      <w:ind w:left="480"/>
    </w:pPr>
  </w:style>
  <w:style w:styleId="af0" w:type="paragraph">
    <w:name w:val="header"/>
    <w:basedOn w:val="a"/>
    <w:link w:val="af1"/>
    <w:unhideWhenUsed/>
    <w:rsid w:val="001C4EF7"/>
    <w:pPr>
      <w:tabs>
        <w:tab w:pos="4677" w:val="center"/>
        <w:tab w:pos="9355" w:val="right"/>
      </w:tabs>
      <w:spacing w:after="0"/>
    </w:pPr>
  </w:style>
  <w:style w:customStyle="1" w:styleId="af1" w:type="character">
    <w:name w:val="Верхний колонтитул Знак"/>
    <w:basedOn w:val="a1"/>
    <w:link w:val="af0"/>
    <w:rsid w:val="001C4EF7"/>
    <w:rPr>
      <w:sz w:val="22"/>
      <w:lang w:val="ru-RU"/>
    </w:rPr>
  </w:style>
  <w:style w:styleId="af2" w:type="paragraph">
    <w:name w:val="footer"/>
    <w:basedOn w:val="a"/>
    <w:link w:val="af3"/>
    <w:uiPriority w:val="99"/>
    <w:unhideWhenUsed/>
    <w:rsid w:val="001C4EF7"/>
    <w:pPr>
      <w:tabs>
        <w:tab w:pos="4677" w:val="center"/>
        <w:tab w:pos="9355" w:val="right"/>
      </w:tabs>
      <w:spacing w:after="0"/>
    </w:pPr>
  </w:style>
  <w:style w:customStyle="1" w:styleId="af3" w:type="character">
    <w:name w:val="Нижний колонтитул Знак"/>
    <w:basedOn w:val="a1"/>
    <w:link w:val="af2"/>
    <w:uiPriority w:val="99"/>
    <w:rsid w:val="001C4EF7"/>
    <w:rPr>
      <w:sz w:val="22"/>
      <w:lang w:val="ru-RU"/>
    </w:rPr>
  </w:style>
  <w:style w:customStyle="1" w:styleId="11" w:type="table">
    <w:name w:val="Сетка таблицы1"/>
    <w:basedOn w:val="a2"/>
    <w:next w:val="af4"/>
    <w:uiPriority w:val="59"/>
    <w:rsid w:val="006F635A"/>
    <w:pPr>
      <w:spacing w:after="0"/>
    </w:pPr>
    <w:rPr>
      <w:sz w:val="22"/>
      <w:szCs w:val="22"/>
      <w:lang w:bidi="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styleId="af4" w:type="table">
    <w:name w:val="Table Grid"/>
    <w:basedOn w:val="a2"/>
    <w:rsid w:val="006F635A"/>
    <w:pPr>
      <w:spacing w:after="0"/>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footer2.xml" Type="http://schemas.openxmlformats.org/officeDocument/2006/relationships/footer" /><Relationship Id="rId10" Target="footer1.xml" Type="http://schemas.openxmlformats.org/officeDocument/2006/relationships/footer" /><Relationship Type="http://schemas.openxmlformats.org/officeDocument/2006/relationships/image" Id="rId110" Target="media/rId110.jpg" /><Relationship Type="http://schemas.openxmlformats.org/officeDocument/2006/relationships/image" Id="rId113" Target="media/rId113.jpg" /><Relationship Type="http://schemas.openxmlformats.org/officeDocument/2006/relationships/image" Id="rId39" Target="media/rId39.bin" /><Relationship Type="http://schemas.openxmlformats.org/officeDocument/2006/relationships/image" Id="rId67" Target="media/rId67.bin" /><Relationship Type="http://schemas.openxmlformats.org/officeDocument/2006/relationships/image" Id="rId77" Target="media/rId77.bin" /><Relationship Type="http://schemas.openxmlformats.org/officeDocument/2006/relationships/image" Id="rId50" Target="media/rId50.bin" /><Relationship Type="http://schemas.openxmlformats.org/officeDocument/2006/relationships/image" Id="rId84" Target="media/rId84.bin" /><Relationship Type="http://schemas.openxmlformats.org/officeDocument/2006/relationships/image" Id="rId89" Target="media/rId89.bin" /><Relationship Type="http://schemas.openxmlformats.org/officeDocument/2006/relationships/image" Id="rId92" Target="media/rId92.bin" /><Relationship Type="http://schemas.openxmlformats.org/officeDocument/2006/relationships/image" Id="rId95" Target="media/rId95.bin" /><Relationship Type="http://schemas.openxmlformats.org/officeDocument/2006/relationships/image" Id="rId98" Target="media/rId98.bin" /><Relationship Type="http://schemas.openxmlformats.org/officeDocument/2006/relationships/image" Id="rId101" Target="media/rId101.bin" /><Relationship Type="http://schemas.openxmlformats.org/officeDocument/2006/relationships/image" Id="rId104" Target="media/rId104.bin"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3</Pages>
  <Words>106</Words>
  <Characters>609</Characters>
  <Application>Microsoft Office Word</Application>
  <DocSecurity>0</DocSecurity>
  <Lines>5</Lines>
  <Paragraphs>1</Paragraphs>
  <ScaleCrop>false</ScaleCrop>
  <HeadingPairs>
    <vt:vector size="2" baseType="variant">
      <vt:variant>
        <vt:lpstr>Название</vt:lpstr>
      </vt:variant>
      <vt:variant>
        <vt:i4>1</vt:i4>
      </vt:variant>
    </vt:vector>
  </HeadingPairs>
  <TitlesOfParts>
    <vt:vector size="1" baseType="lpstr">
      <vt:lpstr>Title</vt:lpstr>
    </vt:vector>
  </TitlesOfParts>
  <Company>diakov.net</Company>
  <LinksUpToDate>false</LinksUpToDate>
  <CharactersWithSpaces>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для отчета Определение категорий помещений, зданий и наружных установок по взрывопожарной и пожарной опасности</dc:title>
  <dc:creator>FireCategories 2.26</dc:creator>
  <dc:language>ru-RU</dc:language>
  <cp:keywords/>
  <dcterms:created xsi:type="dcterms:W3CDTF">2024-07-18T05:21:39Z</dcterms:created>
  <dcterms:modified xsi:type="dcterms:W3CDTF">2024-07-18T05:21:39Z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oc-title">
    <vt:lpwstr>Оглавление</vt:lpwstr>
  </property>
</Properties>
</file>